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CB2" w:rsidRPr="006901CA" w:rsidRDefault="007D7769" w:rsidP="006901CA">
      <w:pPr>
        <w:spacing w:line="360" w:lineRule="auto"/>
        <w:jc w:val="center"/>
        <w:rPr>
          <w:rFonts w:ascii="微软雅黑" w:eastAsia="微软雅黑" w:hAnsi="微软雅黑"/>
          <w:b/>
          <w:sz w:val="24"/>
          <w:szCs w:val="24"/>
        </w:rPr>
      </w:pPr>
      <w:r w:rsidRPr="006901CA">
        <w:rPr>
          <w:rFonts w:ascii="微软雅黑" w:eastAsia="微软雅黑" w:hAnsi="微软雅黑" w:hint="eastAsia"/>
          <w:b/>
          <w:sz w:val="24"/>
          <w:szCs w:val="24"/>
        </w:rPr>
        <w:t>厦门农商银行“丰裕”人民币理财计划产品</w:t>
      </w:r>
    </w:p>
    <w:p w:rsidR="00965717" w:rsidRPr="006901CA" w:rsidRDefault="007D7769" w:rsidP="006901CA">
      <w:pPr>
        <w:spacing w:line="360" w:lineRule="auto"/>
        <w:jc w:val="center"/>
        <w:rPr>
          <w:rFonts w:ascii="微软雅黑" w:eastAsia="微软雅黑" w:hAnsi="微软雅黑"/>
          <w:b/>
          <w:sz w:val="24"/>
          <w:szCs w:val="24"/>
        </w:rPr>
      </w:pPr>
      <w:r w:rsidRPr="006901CA">
        <w:rPr>
          <w:rFonts w:ascii="微软雅黑" w:eastAsia="微软雅黑" w:hAnsi="微软雅黑" w:hint="eastAsia"/>
          <w:b/>
          <w:sz w:val="24"/>
          <w:szCs w:val="24"/>
        </w:rPr>
        <w:t>201</w:t>
      </w:r>
      <w:r w:rsidR="006420F4">
        <w:rPr>
          <w:rFonts w:ascii="微软雅黑" w:eastAsia="微软雅黑" w:hAnsi="微软雅黑" w:hint="eastAsia"/>
          <w:b/>
          <w:sz w:val="24"/>
          <w:szCs w:val="24"/>
        </w:rPr>
        <w:t>8</w:t>
      </w:r>
      <w:r w:rsidRPr="006901CA">
        <w:rPr>
          <w:rFonts w:ascii="微软雅黑" w:eastAsia="微软雅黑" w:hAnsi="微软雅黑" w:hint="eastAsia"/>
          <w:b/>
          <w:sz w:val="24"/>
          <w:szCs w:val="24"/>
        </w:rPr>
        <w:t>年第</w:t>
      </w:r>
      <w:r w:rsidR="006420F4">
        <w:rPr>
          <w:rFonts w:ascii="微软雅黑" w:eastAsia="微软雅黑" w:hAnsi="微软雅黑" w:hint="eastAsia"/>
          <w:b/>
          <w:sz w:val="24"/>
          <w:szCs w:val="24"/>
        </w:rPr>
        <w:t>一</w:t>
      </w:r>
      <w:r w:rsidRPr="006901CA">
        <w:rPr>
          <w:rFonts w:ascii="微软雅黑" w:eastAsia="微软雅黑" w:hAnsi="微软雅黑" w:hint="eastAsia"/>
          <w:b/>
          <w:sz w:val="24"/>
          <w:szCs w:val="24"/>
        </w:rPr>
        <w:t>季度季报</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948"/>
        <w:gridCol w:w="44"/>
        <w:gridCol w:w="3292"/>
        <w:gridCol w:w="2570"/>
      </w:tblGrid>
      <w:tr w:rsidR="00782257" w:rsidRPr="006901CA" w:rsidTr="00F26A30">
        <w:tc>
          <w:tcPr>
            <w:tcW w:w="8522" w:type="dxa"/>
            <w:gridSpan w:val="5"/>
            <w:shd w:val="clear" w:color="auto" w:fill="DDD9C3" w:themeFill="background2" w:themeFillShade="E6"/>
          </w:tcPr>
          <w:p w:rsidR="00782257" w:rsidRPr="006901CA" w:rsidRDefault="00782257" w:rsidP="006901CA">
            <w:pPr>
              <w:pStyle w:val="a6"/>
              <w:numPr>
                <w:ilvl w:val="0"/>
                <w:numId w:val="1"/>
              </w:numPr>
              <w:spacing w:line="360" w:lineRule="auto"/>
              <w:ind w:firstLineChars="0"/>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重要提示</w:t>
            </w:r>
          </w:p>
        </w:tc>
      </w:tr>
      <w:tr w:rsidR="00782257" w:rsidRPr="006901CA" w:rsidTr="00F26A30">
        <w:tc>
          <w:tcPr>
            <w:tcW w:w="8522" w:type="dxa"/>
            <w:gridSpan w:val="5"/>
          </w:tcPr>
          <w:p w:rsidR="00782257" w:rsidRPr="006901CA" w:rsidRDefault="00782257" w:rsidP="006901CA">
            <w:pPr>
              <w:spacing w:line="360" w:lineRule="auto"/>
              <w:jc w:val="center"/>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无。</w:t>
            </w:r>
          </w:p>
        </w:tc>
      </w:tr>
      <w:tr w:rsidR="00782257" w:rsidRPr="006901CA" w:rsidTr="00F26A30">
        <w:tc>
          <w:tcPr>
            <w:tcW w:w="8522" w:type="dxa"/>
            <w:gridSpan w:val="5"/>
            <w:shd w:val="clear" w:color="auto" w:fill="DDD9C3" w:themeFill="background2" w:themeFillShade="E6"/>
          </w:tcPr>
          <w:p w:rsidR="00782257" w:rsidRPr="006901CA" w:rsidRDefault="00782257" w:rsidP="006901CA">
            <w:pPr>
              <w:pStyle w:val="a6"/>
              <w:numPr>
                <w:ilvl w:val="0"/>
                <w:numId w:val="1"/>
              </w:numPr>
              <w:spacing w:line="360" w:lineRule="auto"/>
              <w:ind w:firstLineChars="0"/>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理财产品概况</w:t>
            </w:r>
          </w:p>
        </w:tc>
      </w:tr>
      <w:tr w:rsidR="00782257" w:rsidRPr="006901CA" w:rsidTr="00F26A30">
        <w:tc>
          <w:tcPr>
            <w:tcW w:w="1668" w:type="dxa"/>
          </w:tcPr>
          <w:p w:rsidR="00782257" w:rsidRPr="006901CA" w:rsidRDefault="00591F49"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产品名称</w:t>
            </w:r>
          </w:p>
        </w:tc>
        <w:tc>
          <w:tcPr>
            <w:tcW w:w="6854" w:type="dxa"/>
            <w:gridSpan w:val="4"/>
          </w:tcPr>
          <w:p w:rsidR="00782257" w:rsidRPr="006901CA" w:rsidRDefault="00591F49"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cs="宋体" w:hint="eastAsia"/>
                <w:color w:val="000000" w:themeColor="text1"/>
                <w:kern w:val="0"/>
                <w:sz w:val="24"/>
                <w:szCs w:val="24"/>
              </w:rPr>
              <w:t>厦门农商银行丰裕人民币理财计划</w:t>
            </w:r>
          </w:p>
        </w:tc>
      </w:tr>
      <w:tr w:rsidR="00782257" w:rsidRPr="006901CA" w:rsidTr="00F26A30">
        <w:tc>
          <w:tcPr>
            <w:tcW w:w="1668" w:type="dxa"/>
          </w:tcPr>
          <w:p w:rsidR="00782257" w:rsidRPr="006901CA" w:rsidRDefault="008847B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销售币种</w:t>
            </w:r>
          </w:p>
        </w:tc>
        <w:tc>
          <w:tcPr>
            <w:tcW w:w="6854" w:type="dxa"/>
            <w:gridSpan w:val="4"/>
          </w:tcPr>
          <w:p w:rsidR="00782257" w:rsidRPr="006901CA" w:rsidRDefault="003B1958"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人民币</w:t>
            </w:r>
          </w:p>
        </w:tc>
      </w:tr>
      <w:tr w:rsidR="00782257" w:rsidRPr="006901CA" w:rsidTr="00F26A30">
        <w:tc>
          <w:tcPr>
            <w:tcW w:w="1668" w:type="dxa"/>
          </w:tcPr>
          <w:p w:rsidR="00782257" w:rsidRPr="006901CA" w:rsidRDefault="003B1958"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产品风险评级</w:t>
            </w:r>
          </w:p>
        </w:tc>
        <w:tc>
          <w:tcPr>
            <w:tcW w:w="6854" w:type="dxa"/>
            <w:gridSpan w:val="4"/>
          </w:tcPr>
          <w:p w:rsidR="00782257" w:rsidRPr="006901CA" w:rsidRDefault="002E6852"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本产品属于中低风险等级理财产品</w:t>
            </w:r>
            <w:r w:rsidR="00506881" w:rsidRPr="006901CA">
              <w:rPr>
                <w:rFonts w:ascii="微软雅黑" w:eastAsia="微软雅黑" w:hAnsi="微软雅黑" w:hint="eastAsia"/>
                <w:color w:val="000000" w:themeColor="text1"/>
                <w:sz w:val="24"/>
                <w:szCs w:val="24"/>
              </w:rPr>
              <w:t>（厦门农商银行理财产品风险评级）</w:t>
            </w:r>
            <w:r w:rsidRPr="006901CA">
              <w:rPr>
                <w:rFonts w:ascii="微软雅黑" w:eastAsia="微软雅黑" w:hAnsi="微软雅黑" w:hint="eastAsia"/>
                <w:color w:val="000000" w:themeColor="text1"/>
                <w:sz w:val="24"/>
                <w:szCs w:val="24"/>
              </w:rPr>
              <w:t>。</w:t>
            </w:r>
          </w:p>
        </w:tc>
      </w:tr>
      <w:tr w:rsidR="00782257" w:rsidRPr="006901CA" w:rsidTr="00F26A30">
        <w:tc>
          <w:tcPr>
            <w:tcW w:w="1668" w:type="dxa"/>
          </w:tcPr>
          <w:p w:rsidR="00782257" w:rsidRPr="006901CA" w:rsidRDefault="00DA1854"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收益类型</w:t>
            </w:r>
          </w:p>
        </w:tc>
        <w:tc>
          <w:tcPr>
            <w:tcW w:w="6854" w:type="dxa"/>
            <w:gridSpan w:val="4"/>
          </w:tcPr>
          <w:p w:rsidR="00782257" w:rsidRPr="006901CA" w:rsidRDefault="00953DBC"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非保本浮动</w:t>
            </w:r>
            <w:r w:rsidR="00360659" w:rsidRPr="006901CA">
              <w:rPr>
                <w:rFonts w:ascii="微软雅黑" w:eastAsia="微软雅黑" w:hAnsi="微软雅黑" w:hint="eastAsia"/>
                <w:color w:val="000000" w:themeColor="text1"/>
                <w:sz w:val="24"/>
                <w:szCs w:val="24"/>
              </w:rPr>
              <w:t>收益</w:t>
            </w:r>
          </w:p>
        </w:tc>
      </w:tr>
      <w:tr w:rsidR="00170116" w:rsidRPr="006901CA" w:rsidTr="00F26A30">
        <w:tc>
          <w:tcPr>
            <w:tcW w:w="1668" w:type="dxa"/>
          </w:tcPr>
          <w:p w:rsidR="00170116" w:rsidRPr="006901CA" w:rsidRDefault="0017011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产品运作模式</w:t>
            </w:r>
          </w:p>
        </w:tc>
        <w:tc>
          <w:tcPr>
            <w:tcW w:w="6854" w:type="dxa"/>
            <w:gridSpan w:val="4"/>
          </w:tcPr>
          <w:p w:rsidR="00170116" w:rsidRPr="006901CA" w:rsidRDefault="0017011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cs="宋体" w:hint="eastAsia"/>
                <w:color w:val="000000" w:themeColor="text1"/>
                <w:kern w:val="0"/>
                <w:sz w:val="24"/>
                <w:szCs w:val="24"/>
              </w:rPr>
              <w:t>开放式非净值型</w:t>
            </w:r>
          </w:p>
        </w:tc>
      </w:tr>
      <w:tr w:rsidR="00DA1854" w:rsidRPr="006901CA" w:rsidTr="00F26A30">
        <w:tc>
          <w:tcPr>
            <w:tcW w:w="1668" w:type="dxa"/>
          </w:tcPr>
          <w:p w:rsidR="00DA1854" w:rsidRPr="006901CA" w:rsidRDefault="00CD1DE3"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产品期限</w:t>
            </w:r>
          </w:p>
        </w:tc>
        <w:tc>
          <w:tcPr>
            <w:tcW w:w="6854" w:type="dxa"/>
            <w:gridSpan w:val="4"/>
          </w:tcPr>
          <w:p w:rsidR="00DA1854" w:rsidRPr="006901CA" w:rsidRDefault="005460BE"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不设</w:t>
            </w:r>
            <w:proofErr w:type="gramStart"/>
            <w:r w:rsidRPr="006901CA">
              <w:rPr>
                <w:rFonts w:ascii="微软雅黑" w:eastAsia="微软雅黑" w:hAnsi="微软雅黑" w:hint="eastAsia"/>
                <w:color w:val="000000" w:themeColor="text1"/>
                <w:sz w:val="24"/>
                <w:szCs w:val="24"/>
              </w:rPr>
              <w:t>固定管理</w:t>
            </w:r>
            <w:proofErr w:type="gramEnd"/>
            <w:r w:rsidRPr="006901CA">
              <w:rPr>
                <w:rFonts w:ascii="微软雅黑" w:eastAsia="微软雅黑" w:hAnsi="微软雅黑" w:hint="eastAsia"/>
                <w:color w:val="000000" w:themeColor="text1"/>
                <w:sz w:val="24"/>
                <w:szCs w:val="24"/>
              </w:rPr>
              <w:t>期限，本理财计划无固定存续期。</w:t>
            </w:r>
            <w:r w:rsidRPr="006901CA">
              <w:rPr>
                <w:rFonts w:ascii="微软雅黑" w:eastAsia="微软雅黑" w:hAnsi="微软雅黑"/>
                <w:color w:val="000000" w:themeColor="text1"/>
                <w:sz w:val="24"/>
                <w:szCs w:val="24"/>
              </w:rPr>
              <w:t>(</w:t>
            </w:r>
            <w:r w:rsidRPr="006901CA">
              <w:rPr>
                <w:rFonts w:ascii="微软雅黑" w:eastAsia="微软雅黑" w:hAnsi="微软雅黑" w:hint="eastAsia"/>
                <w:color w:val="000000" w:themeColor="text1"/>
                <w:sz w:val="24"/>
                <w:szCs w:val="24"/>
              </w:rPr>
              <w:t>虽无固定期限，但厦门农商银行保留终止权）</w:t>
            </w:r>
          </w:p>
        </w:tc>
      </w:tr>
      <w:tr w:rsidR="00DA1854" w:rsidRPr="006901CA" w:rsidTr="00F26A30">
        <w:tc>
          <w:tcPr>
            <w:tcW w:w="1668" w:type="dxa"/>
          </w:tcPr>
          <w:p w:rsidR="00DA1854" w:rsidRPr="006901CA" w:rsidRDefault="007246A3"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封闭期</w:t>
            </w:r>
          </w:p>
        </w:tc>
        <w:tc>
          <w:tcPr>
            <w:tcW w:w="6854" w:type="dxa"/>
            <w:gridSpan w:val="4"/>
          </w:tcPr>
          <w:p w:rsidR="00DA1854" w:rsidRPr="006901CA" w:rsidRDefault="00071A3E"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本理财计划除管理人公告的开放期外，其余皆为封闭期。封闭期内不办理申购和赎回（退出）业务。</w:t>
            </w:r>
          </w:p>
        </w:tc>
      </w:tr>
      <w:tr w:rsidR="00932CFC" w:rsidRPr="006901CA" w:rsidTr="00F26A30">
        <w:tc>
          <w:tcPr>
            <w:tcW w:w="1668" w:type="dxa"/>
          </w:tcPr>
          <w:p w:rsidR="00932CFC" w:rsidRPr="006901CA" w:rsidRDefault="007246A3"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开放期</w:t>
            </w:r>
          </w:p>
        </w:tc>
        <w:tc>
          <w:tcPr>
            <w:tcW w:w="6854" w:type="dxa"/>
            <w:gridSpan w:val="4"/>
          </w:tcPr>
          <w:p w:rsidR="00932CFC" w:rsidRPr="006901CA" w:rsidRDefault="00524147"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本理财计划不定期开放，每期开放期为</w:t>
            </w:r>
            <w:r w:rsidR="0074513C" w:rsidRPr="006901CA">
              <w:rPr>
                <w:rFonts w:ascii="微软雅黑" w:eastAsia="微软雅黑" w:hAnsi="微软雅黑"/>
                <w:color w:val="000000" w:themeColor="text1"/>
                <w:sz w:val="24"/>
                <w:szCs w:val="24"/>
              </w:rPr>
              <w:t>3-5</w:t>
            </w:r>
            <w:r w:rsidRPr="006901CA">
              <w:rPr>
                <w:rFonts w:ascii="微软雅黑" w:eastAsia="微软雅黑" w:hAnsi="微软雅黑" w:hint="eastAsia"/>
                <w:color w:val="000000" w:themeColor="text1"/>
                <w:sz w:val="24"/>
                <w:szCs w:val="24"/>
              </w:rPr>
              <w:t>个工作日。开放期以管理人公告为准（管理人至少提前一天公告），管理人可根据市场状况提前结束开放期。开放期仅办理申购业务。理财份额在到期日自动退出。</w:t>
            </w:r>
          </w:p>
        </w:tc>
      </w:tr>
      <w:tr w:rsidR="00CD1DE3" w:rsidRPr="006901CA" w:rsidTr="00F26A30">
        <w:tc>
          <w:tcPr>
            <w:tcW w:w="1668" w:type="dxa"/>
          </w:tcPr>
          <w:p w:rsidR="00CD1DE3" w:rsidRPr="006901CA" w:rsidRDefault="007246A3"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理财期限</w:t>
            </w:r>
          </w:p>
        </w:tc>
        <w:tc>
          <w:tcPr>
            <w:tcW w:w="6854" w:type="dxa"/>
            <w:gridSpan w:val="4"/>
          </w:tcPr>
          <w:p w:rsidR="00CD1DE3" w:rsidRPr="006901CA" w:rsidRDefault="00A2505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根据每期份额的封闭期起始日和封闭期结束日计算。</w:t>
            </w:r>
          </w:p>
        </w:tc>
      </w:tr>
      <w:tr w:rsidR="00CD1DE3" w:rsidRPr="006901CA" w:rsidTr="00F26A30">
        <w:tc>
          <w:tcPr>
            <w:tcW w:w="1668" w:type="dxa"/>
          </w:tcPr>
          <w:p w:rsidR="00CD1DE3" w:rsidRPr="006901CA" w:rsidRDefault="00CE2E4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预期收益率</w:t>
            </w:r>
          </w:p>
        </w:tc>
        <w:tc>
          <w:tcPr>
            <w:tcW w:w="6854" w:type="dxa"/>
            <w:gridSpan w:val="4"/>
          </w:tcPr>
          <w:p w:rsidR="00CD1DE3" w:rsidRPr="006901CA" w:rsidRDefault="00CE2E4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管理人根据本理财计划运作情况，结合市场水平测算预期收益率，每一个投资周期的预期收益率以管理人的公告或产品协议为</w:t>
            </w:r>
            <w:r w:rsidRPr="006901CA">
              <w:rPr>
                <w:rFonts w:ascii="微软雅黑" w:eastAsia="微软雅黑" w:hAnsi="微软雅黑" w:hint="eastAsia"/>
                <w:color w:val="000000" w:themeColor="text1"/>
                <w:sz w:val="24"/>
                <w:szCs w:val="24"/>
              </w:rPr>
              <w:lastRenderedPageBreak/>
              <w:t>准。</w:t>
            </w:r>
          </w:p>
        </w:tc>
      </w:tr>
      <w:tr w:rsidR="00CD1DE3" w:rsidRPr="006901CA" w:rsidTr="00F26A30">
        <w:tc>
          <w:tcPr>
            <w:tcW w:w="1668" w:type="dxa"/>
          </w:tcPr>
          <w:p w:rsidR="00CD1DE3" w:rsidRPr="006901CA" w:rsidRDefault="008D330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lastRenderedPageBreak/>
              <w:t>理财计划份额</w:t>
            </w:r>
          </w:p>
        </w:tc>
        <w:tc>
          <w:tcPr>
            <w:tcW w:w="6854" w:type="dxa"/>
            <w:gridSpan w:val="4"/>
          </w:tcPr>
          <w:p w:rsidR="00CD1DE3" w:rsidRPr="006901CA" w:rsidRDefault="008D330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理财计划份额以人民币计价，单位为</w:t>
            </w:r>
            <w:r w:rsidRPr="006901CA">
              <w:rPr>
                <w:rFonts w:ascii="微软雅黑" w:eastAsia="微软雅黑" w:hAnsi="微软雅黑"/>
                <w:color w:val="000000" w:themeColor="text1"/>
                <w:sz w:val="24"/>
                <w:szCs w:val="24"/>
              </w:rPr>
              <w:t xml:space="preserve">1 </w:t>
            </w:r>
            <w:r w:rsidRPr="006901CA">
              <w:rPr>
                <w:rFonts w:ascii="微软雅黑" w:eastAsia="微软雅黑" w:hAnsi="微软雅黑" w:hint="eastAsia"/>
                <w:color w:val="000000" w:themeColor="text1"/>
                <w:sz w:val="24"/>
                <w:szCs w:val="24"/>
              </w:rPr>
              <w:t>份。</w:t>
            </w:r>
          </w:p>
        </w:tc>
      </w:tr>
      <w:tr w:rsidR="00CD1DE3" w:rsidRPr="006901CA" w:rsidTr="00F26A30">
        <w:tc>
          <w:tcPr>
            <w:tcW w:w="1668" w:type="dxa"/>
          </w:tcPr>
          <w:p w:rsidR="00CD1DE3" w:rsidRPr="006901CA" w:rsidRDefault="008D330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理财计划份额面值</w:t>
            </w:r>
          </w:p>
        </w:tc>
        <w:tc>
          <w:tcPr>
            <w:tcW w:w="6854" w:type="dxa"/>
            <w:gridSpan w:val="4"/>
          </w:tcPr>
          <w:p w:rsidR="00CD1DE3" w:rsidRPr="006901CA" w:rsidRDefault="008D3306"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本理财计划份额面值为人民币</w:t>
            </w:r>
            <w:r w:rsidRPr="006901CA">
              <w:rPr>
                <w:rFonts w:ascii="微软雅黑" w:eastAsia="微软雅黑" w:hAnsi="微软雅黑"/>
                <w:color w:val="000000" w:themeColor="text1"/>
                <w:sz w:val="24"/>
                <w:szCs w:val="24"/>
              </w:rPr>
              <w:t xml:space="preserve">1 </w:t>
            </w:r>
            <w:r w:rsidRPr="006901CA">
              <w:rPr>
                <w:rFonts w:ascii="微软雅黑" w:eastAsia="微软雅黑" w:hAnsi="微软雅黑" w:hint="eastAsia"/>
                <w:color w:val="000000" w:themeColor="text1"/>
                <w:sz w:val="24"/>
                <w:szCs w:val="24"/>
              </w:rPr>
              <w:t>元。</w:t>
            </w:r>
          </w:p>
        </w:tc>
      </w:tr>
      <w:tr w:rsidR="00D708A5" w:rsidRPr="006901CA" w:rsidTr="00F26A30">
        <w:tc>
          <w:tcPr>
            <w:tcW w:w="1668" w:type="dxa"/>
          </w:tcPr>
          <w:p w:rsidR="00D708A5" w:rsidRPr="006901CA" w:rsidRDefault="00D708A5"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发行规模</w:t>
            </w:r>
          </w:p>
        </w:tc>
        <w:tc>
          <w:tcPr>
            <w:tcW w:w="6854" w:type="dxa"/>
            <w:gridSpan w:val="4"/>
          </w:tcPr>
          <w:p w:rsidR="00D708A5" w:rsidRPr="006901CA" w:rsidRDefault="00D708A5"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发行规模下限</w:t>
            </w:r>
            <w:r w:rsidRPr="006901CA">
              <w:rPr>
                <w:rFonts w:ascii="微软雅黑" w:eastAsia="微软雅黑" w:hAnsi="微软雅黑"/>
                <w:color w:val="000000" w:themeColor="text1"/>
                <w:sz w:val="24"/>
                <w:szCs w:val="24"/>
              </w:rPr>
              <w:t xml:space="preserve"> 1000 </w:t>
            </w:r>
            <w:r w:rsidRPr="006901CA">
              <w:rPr>
                <w:rFonts w:ascii="微软雅黑" w:eastAsia="微软雅黑" w:hAnsi="微软雅黑" w:hint="eastAsia"/>
                <w:color w:val="000000" w:themeColor="text1"/>
                <w:sz w:val="24"/>
                <w:szCs w:val="24"/>
              </w:rPr>
              <w:t>万元，发行规模上限</w:t>
            </w:r>
            <w:r w:rsidRPr="006901CA">
              <w:rPr>
                <w:rFonts w:ascii="微软雅黑" w:eastAsia="微软雅黑" w:hAnsi="微软雅黑"/>
                <w:color w:val="000000" w:themeColor="text1"/>
                <w:sz w:val="24"/>
                <w:szCs w:val="24"/>
              </w:rPr>
              <w:t xml:space="preserve"> 200 </w:t>
            </w:r>
            <w:r w:rsidRPr="006901CA">
              <w:rPr>
                <w:rFonts w:ascii="微软雅黑" w:eastAsia="微软雅黑" w:hAnsi="微软雅黑" w:hint="eastAsia"/>
                <w:color w:val="000000" w:themeColor="text1"/>
                <w:sz w:val="24"/>
                <w:szCs w:val="24"/>
              </w:rPr>
              <w:t>亿元，售完即止。</w:t>
            </w:r>
          </w:p>
        </w:tc>
      </w:tr>
      <w:tr w:rsidR="008D3340" w:rsidRPr="006901CA" w:rsidTr="00F26A30">
        <w:tc>
          <w:tcPr>
            <w:tcW w:w="1668" w:type="dxa"/>
          </w:tcPr>
          <w:p w:rsidR="008D3340" w:rsidRPr="006901CA" w:rsidRDefault="008D334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销售费</w:t>
            </w:r>
          </w:p>
        </w:tc>
        <w:tc>
          <w:tcPr>
            <w:tcW w:w="6854" w:type="dxa"/>
            <w:gridSpan w:val="4"/>
          </w:tcPr>
          <w:p w:rsidR="008D3340" w:rsidRPr="006901CA" w:rsidRDefault="008D334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每期理财份额销售费率根据市场情况于发行前确定，以管理人公告为准。</w:t>
            </w:r>
          </w:p>
        </w:tc>
      </w:tr>
      <w:tr w:rsidR="00CD1DE3" w:rsidRPr="006901CA" w:rsidTr="00F26A30">
        <w:tc>
          <w:tcPr>
            <w:tcW w:w="1668" w:type="dxa"/>
          </w:tcPr>
          <w:p w:rsidR="00CD1DE3" w:rsidRPr="006901CA" w:rsidRDefault="008D334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托管费</w:t>
            </w:r>
          </w:p>
        </w:tc>
        <w:tc>
          <w:tcPr>
            <w:tcW w:w="6854" w:type="dxa"/>
            <w:gridSpan w:val="4"/>
          </w:tcPr>
          <w:p w:rsidR="00CD1DE3" w:rsidRPr="006901CA" w:rsidRDefault="00AA2DB7"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当理财计划本金小于</w:t>
            </w:r>
            <w:r w:rsidRPr="006901CA">
              <w:rPr>
                <w:rFonts w:ascii="微软雅黑" w:eastAsia="微软雅黑" w:hAnsi="微软雅黑"/>
                <w:color w:val="000000" w:themeColor="text1"/>
                <w:sz w:val="24"/>
                <w:szCs w:val="24"/>
              </w:rPr>
              <w:t xml:space="preserve">40 </w:t>
            </w:r>
            <w:r w:rsidRPr="006901CA">
              <w:rPr>
                <w:rFonts w:ascii="微软雅黑" w:eastAsia="微软雅黑" w:hAnsi="微软雅黑" w:hint="eastAsia"/>
                <w:color w:val="000000" w:themeColor="text1"/>
                <w:sz w:val="24"/>
                <w:szCs w:val="24"/>
              </w:rPr>
              <w:t>亿元（含）时，托管费率按</w:t>
            </w:r>
            <w:r w:rsidRPr="006901CA">
              <w:rPr>
                <w:rFonts w:ascii="微软雅黑" w:eastAsia="微软雅黑" w:hAnsi="微软雅黑"/>
                <w:color w:val="000000" w:themeColor="text1"/>
                <w:sz w:val="24"/>
                <w:szCs w:val="24"/>
              </w:rPr>
              <w:t>0.04%/</w:t>
            </w:r>
            <w:r w:rsidRPr="006901CA">
              <w:rPr>
                <w:rFonts w:ascii="微软雅黑" w:eastAsia="微软雅黑" w:hAnsi="微软雅黑" w:hint="eastAsia"/>
                <w:color w:val="000000" w:themeColor="text1"/>
                <w:sz w:val="24"/>
                <w:szCs w:val="24"/>
              </w:rPr>
              <w:t>年计算；当理财计划本金大于</w:t>
            </w:r>
            <w:r w:rsidRPr="006901CA">
              <w:rPr>
                <w:rFonts w:ascii="微软雅黑" w:eastAsia="微软雅黑" w:hAnsi="微软雅黑"/>
                <w:color w:val="000000" w:themeColor="text1"/>
                <w:sz w:val="24"/>
                <w:szCs w:val="24"/>
              </w:rPr>
              <w:t xml:space="preserve">40 </w:t>
            </w:r>
            <w:r w:rsidRPr="006901CA">
              <w:rPr>
                <w:rFonts w:ascii="微软雅黑" w:eastAsia="微软雅黑" w:hAnsi="微软雅黑" w:hint="eastAsia"/>
                <w:color w:val="000000" w:themeColor="text1"/>
                <w:sz w:val="24"/>
                <w:szCs w:val="24"/>
              </w:rPr>
              <w:t>亿元时，托管费率按</w:t>
            </w:r>
            <w:r w:rsidRPr="006901CA">
              <w:rPr>
                <w:rFonts w:ascii="微软雅黑" w:eastAsia="微软雅黑" w:hAnsi="微软雅黑"/>
                <w:color w:val="000000" w:themeColor="text1"/>
                <w:sz w:val="24"/>
                <w:szCs w:val="24"/>
              </w:rPr>
              <w:t>0.03%/</w:t>
            </w:r>
            <w:r w:rsidRPr="006901CA">
              <w:rPr>
                <w:rFonts w:ascii="微软雅黑" w:eastAsia="微软雅黑" w:hAnsi="微软雅黑" w:hint="eastAsia"/>
                <w:color w:val="000000" w:themeColor="text1"/>
                <w:sz w:val="24"/>
                <w:szCs w:val="24"/>
              </w:rPr>
              <w:t>年计算；按日计提，按月（或按季）支付。</w:t>
            </w:r>
          </w:p>
        </w:tc>
      </w:tr>
      <w:tr w:rsidR="008D3340" w:rsidRPr="006901CA" w:rsidTr="00F26A30">
        <w:tc>
          <w:tcPr>
            <w:tcW w:w="1668" w:type="dxa"/>
          </w:tcPr>
          <w:p w:rsidR="008D3340" w:rsidRPr="006901CA" w:rsidRDefault="008D3340"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管理费</w:t>
            </w:r>
          </w:p>
        </w:tc>
        <w:tc>
          <w:tcPr>
            <w:tcW w:w="6854" w:type="dxa"/>
            <w:gridSpan w:val="4"/>
          </w:tcPr>
          <w:p w:rsidR="008D3340" w:rsidRPr="006901CA" w:rsidRDefault="00E046AA"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color w:val="000000" w:themeColor="text1"/>
                <w:sz w:val="24"/>
                <w:szCs w:val="24"/>
              </w:rPr>
              <w:t>0</w:t>
            </w:r>
            <w:r w:rsidRPr="006901CA">
              <w:rPr>
                <w:rFonts w:ascii="微软雅黑" w:eastAsia="微软雅黑" w:hAnsi="微软雅黑" w:hint="eastAsia"/>
                <w:color w:val="000000" w:themeColor="text1"/>
                <w:sz w:val="24"/>
                <w:szCs w:val="24"/>
              </w:rPr>
              <w:t>，本理财计划不收取管理费。</w:t>
            </w:r>
          </w:p>
        </w:tc>
      </w:tr>
      <w:tr w:rsidR="00AA2DB7" w:rsidRPr="006901CA" w:rsidTr="00F26A30">
        <w:tc>
          <w:tcPr>
            <w:tcW w:w="1668" w:type="dxa"/>
          </w:tcPr>
          <w:p w:rsidR="00AA2DB7" w:rsidRPr="006901CA" w:rsidRDefault="00AA2DB7"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赎回费</w:t>
            </w:r>
          </w:p>
        </w:tc>
        <w:tc>
          <w:tcPr>
            <w:tcW w:w="6854" w:type="dxa"/>
            <w:gridSpan w:val="4"/>
          </w:tcPr>
          <w:p w:rsidR="00AA2DB7" w:rsidRPr="006901CA" w:rsidRDefault="00E046AA"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color w:val="000000" w:themeColor="text1"/>
                <w:sz w:val="24"/>
                <w:szCs w:val="24"/>
              </w:rPr>
              <w:t>0</w:t>
            </w:r>
            <w:r w:rsidRPr="006901CA">
              <w:rPr>
                <w:rFonts w:ascii="微软雅黑" w:eastAsia="微软雅黑" w:hAnsi="微软雅黑" w:hint="eastAsia"/>
                <w:color w:val="000000" w:themeColor="text1"/>
                <w:sz w:val="24"/>
                <w:szCs w:val="24"/>
              </w:rPr>
              <w:t>，本理财计划不收取赎回（退出）费。</w:t>
            </w:r>
          </w:p>
        </w:tc>
      </w:tr>
      <w:tr w:rsidR="006770D2" w:rsidRPr="006901CA" w:rsidTr="00F26A30">
        <w:tc>
          <w:tcPr>
            <w:tcW w:w="1668" w:type="dxa"/>
          </w:tcPr>
          <w:p w:rsidR="006770D2" w:rsidRPr="006901CA" w:rsidRDefault="006770D2"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产品托管人</w:t>
            </w:r>
          </w:p>
        </w:tc>
        <w:tc>
          <w:tcPr>
            <w:tcW w:w="6854" w:type="dxa"/>
            <w:gridSpan w:val="4"/>
          </w:tcPr>
          <w:p w:rsidR="006770D2" w:rsidRPr="006901CA" w:rsidRDefault="005747B3"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中国光大银行股份有限公司厦门分行</w:t>
            </w:r>
          </w:p>
        </w:tc>
      </w:tr>
      <w:tr w:rsidR="006770D2" w:rsidRPr="006901CA" w:rsidTr="00F26A30">
        <w:tc>
          <w:tcPr>
            <w:tcW w:w="1668" w:type="dxa"/>
          </w:tcPr>
          <w:p w:rsidR="006770D2" w:rsidRPr="00201A74" w:rsidRDefault="00394B56" w:rsidP="006901CA">
            <w:pPr>
              <w:spacing w:line="360" w:lineRule="auto"/>
              <w:rPr>
                <w:rFonts w:ascii="微软雅黑" w:eastAsia="微软雅黑" w:hAnsi="微软雅黑"/>
                <w:sz w:val="24"/>
                <w:szCs w:val="24"/>
              </w:rPr>
            </w:pPr>
            <w:r w:rsidRPr="00201A74">
              <w:rPr>
                <w:rFonts w:ascii="微软雅黑" w:eastAsia="微软雅黑" w:hAnsi="微软雅黑" w:hint="eastAsia"/>
                <w:sz w:val="24"/>
                <w:szCs w:val="24"/>
              </w:rPr>
              <w:t>报告期理财产品份额</w:t>
            </w:r>
          </w:p>
        </w:tc>
        <w:tc>
          <w:tcPr>
            <w:tcW w:w="6854" w:type="dxa"/>
            <w:gridSpan w:val="4"/>
          </w:tcPr>
          <w:p w:rsidR="00460B77" w:rsidRPr="00201A74" w:rsidRDefault="00460B77" w:rsidP="006901CA">
            <w:pPr>
              <w:spacing w:line="360" w:lineRule="auto"/>
              <w:rPr>
                <w:rFonts w:ascii="微软雅黑" w:eastAsia="微软雅黑" w:hAnsi="微软雅黑"/>
                <w:sz w:val="24"/>
                <w:szCs w:val="24"/>
              </w:rPr>
            </w:pPr>
            <w:r w:rsidRPr="00201A74">
              <w:rPr>
                <w:rFonts w:ascii="微软雅黑" w:eastAsia="微软雅黑" w:hAnsi="微软雅黑" w:hint="eastAsia"/>
                <w:sz w:val="24"/>
                <w:szCs w:val="24"/>
              </w:rPr>
              <w:t>本报告期末理财产品份额</w:t>
            </w:r>
            <w:r w:rsidR="00010C49" w:rsidRPr="00201A74">
              <w:rPr>
                <w:rFonts w:ascii="微软雅黑" w:eastAsia="微软雅黑" w:hAnsi="微软雅黑" w:hint="eastAsia"/>
                <w:sz w:val="24"/>
                <w:szCs w:val="24"/>
              </w:rPr>
              <w:t>78.</w:t>
            </w:r>
            <w:r w:rsidR="00395BD3" w:rsidRPr="00201A74">
              <w:rPr>
                <w:rFonts w:ascii="微软雅黑" w:eastAsia="微软雅黑" w:hAnsi="微软雅黑" w:hint="eastAsia"/>
                <w:sz w:val="24"/>
                <w:szCs w:val="24"/>
              </w:rPr>
              <w:t>12</w:t>
            </w:r>
            <w:r w:rsidRPr="00201A74">
              <w:rPr>
                <w:rFonts w:ascii="微软雅黑" w:eastAsia="微软雅黑" w:hAnsi="微软雅黑" w:hint="eastAsia"/>
                <w:sz w:val="24"/>
                <w:szCs w:val="24"/>
              </w:rPr>
              <w:t>亿份，期初理财产品份额</w:t>
            </w:r>
            <w:r w:rsidR="00395BD3" w:rsidRPr="00201A74">
              <w:rPr>
                <w:rFonts w:ascii="微软雅黑" w:eastAsia="微软雅黑" w:hAnsi="微软雅黑" w:hint="eastAsia"/>
                <w:sz w:val="24"/>
                <w:szCs w:val="24"/>
              </w:rPr>
              <w:t>78.67</w:t>
            </w:r>
            <w:r w:rsidRPr="00201A74">
              <w:rPr>
                <w:rFonts w:ascii="微软雅黑" w:eastAsia="微软雅黑" w:hAnsi="微软雅黑" w:hint="eastAsia"/>
                <w:sz w:val="24"/>
                <w:szCs w:val="24"/>
              </w:rPr>
              <w:t>亿份，减少</w:t>
            </w:r>
            <w:r w:rsidR="00395BD3" w:rsidRPr="00201A74">
              <w:rPr>
                <w:rFonts w:ascii="微软雅黑" w:eastAsia="微软雅黑" w:hAnsi="微软雅黑" w:hint="eastAsia"/>
                <w:sz w:val="24"/>
                <w:szCs w:val="24"/>
              </w:rPr>
              <w:t>0.55</w:t>
            </w:r>
            <w:r w:rsidRPr="00201A74">
              <w:rPr>
                <w:rFonts w:ascii="微软雅黑" w:eastAsia="微软雅黑" w:hAnsi="微软雅黑" w:hint="eastAsia"/>
                <w:sz w:val="24"/>
                <w:szCs w:val="24"/>
              </w:rPr>
              <w:t>亿份。</w:t>
            </w:r>
          </w:p>
        </w:tc>
      </w:tr>
      <w:tr w:rsidR="001D0718" w:rsidRPr="006901CA" w:rsidTr="00F26A30">
        <w:tc>
          <w:tcPr>
            <w:tcW w:w="8522" w:type="dxa"/>
            <w:gridSpan w:val="5"/>
            <w:shd w:val="clear" w:color="auto" w:fill="DDD9C3" w:themeFill="background2" w:themeFillShade="E6"/>
          </w:tcPr>
          <w:p w:rsidR="001D0718" w:rsidRPr="006901CA" w:rsidRDefault="001D0718" w:rsidP="006901CA">
            <w:pPr>
              <w:pStyle w:val="a6"/>
              <w:numPr>
                <w:ilvl w:val="0"/>
                <w:numId w:val="1"/>
              </w:numPr>
              <w:spacing w:line="360" w:lineRule="auto"/>
              <w:ind w:firstLineChars="0"/>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产品整体运作情况</w:t>
            </w:r>
          </w:p>
        </w:tc>
      </w:tr>
      <w:tr w:rsidR="001D0718" w:rsidRPr="006901CA" w:rsidTr="00F26A30">
        <w:tc>
          <w:tcPr>
            <w:tcW w:w="8522" w:type="dxa"/>
            <w:gridSpan w:val="5"/>
            <w:shd w:val="clear" w:color="auto" w:fill="auto"/>
          </w:tcPr>
          <w:p w:rsidR="001D0718" w:rsidRPr="006901CA" w:rsidRDefault="001D0718"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（1）自本产品成立起至本报告日，产品管理人恪尽职守、勤勉尽责、谨慎管理，忠实履行有关法律、行政法规和相关文件的规定。</w:t>
            </w:r>
          </w:p>
          <w:p w:rsidR="001D0718" w:rsidRPr="006901CA" w:rsidRDefault="001D0718" w:rsidP="006901CA">
            <w:pPr>
              <w:spacing w:line="360" w:lineRule="auto"/>
              <w:rPr>
                <w:rFonts w:ascii="微软雅黑" w:eastAsia="微软雅黑" w:hAnsi="微软雅黑"/>
                <w:color w:val="000000" w:themeColor="text1"/>
                <w:sz w:val="24"/>
                <w:szCs w:val="24"/>
              </w:rPr>
            </w:pPr>
            <w:r w:rsidRPr="006901CA">
              <w:rPr>
                <w:rFonts w:ascii="微软雅黑" w:eastAsia="微软雅黑" w:hAnsi="微软雅黑" w:hint="eastAsia"/>
                <w:color w:val="000000" w:themeColor="text1"/>
                <w:sz w:val="24"/>
                <w:szCs w:val="24"/>
              </w:rPr>
              <w:t xml:space="preserve">（2）截至本报告日，所有投资资产正常运营，未发现有异常情况或者不利情况。（3）本产品自成立至本报告日，没有发生涉诉及诉讼等损害投资者利益的情形。  </w:t>
            </w:r>
          </w:p>
        </w:tc>
      </w:tr>
      <w:tr w:rsidR="00E53555" w:rsidRPr="006901CA" w:rsidTr="00F26A30">
        <w:tc>
          <w:tcPr>
            <w:tcW w:w="8522" w:type="dxa"/>
            <w:gridSpan w:val="5"/>
            <w:shd w:val="clear" w:color="auto" w:fill="DDD9C3" w:themeFill="background2" w:themeFillShade="E6"/>
          </w:tcPr>
          <w:p w:rsidR="00E53555" w:rsidRPr="006901CA" w:rsidRDefault="00AC42DF" w:rsidP="006901CA">
            <w:pPr>
              <w:pStyle w:val="a6"/>
              <w:numPr>
                <w:ilvl w:val="0"/>
                <w:numId w:val="1"/>
              </w:numPr>
              <w:spacing w:line="360" w:lineRule="auto"/>
              <w:ind w:firstLineChars="0"/>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投资组合详细情况</w:t>
            </w:r>
          </w:p>
        </w:tc>
      </w:tr>
      <w:tr w:rsidR="008D7670" w:rsidRPr="006901CA" w:rsidTr="0088189B">
        <w:trPr>
          <w:trHeight w:val="740"/>
        </w:trPr>
        <w:tc>
          <w:tcPr>
            <w:tcW w:w="2660" w:type="dxa"/>
            <w:gridSpan w:val="3"/>
            <w:shd w:val="clear" w:color="auto" w:fill="auto"/>
            <w:vAlign w:val="bottom"/>
          </w:tcPr>
          <w:p w:rsidR="008D7670" w:rsidRPr="006901CA" w:rsidRDefault="008D7670" w:rsidP="006901CA">
            <w:pPr>
              <w:spacing w:line="360" w:lineRule="auto"/>
              <w:jc w:val="center"/>
              <w:rPr>
                <w:rFonts w:ascii="微软雅黑" w:eastAsia="微软雅黑" w:hAnsi="微软雅黑" w:cs="Arial"/>
                <w:b/>
                <w:bCs/>
                <w:sz w:val="24"/>
                <w:szCs w:val="24"/>
              </w:rPr>
            </w:pPr>
            <w:r w:rsidRPr="006901CA">
              <w:rPr>
                <w:rFonts w:ascii="微软雅黑" w:eastAsia="微软雅黑" w:hAnsi="微软雅黑" w:cs="Arial"/>
                <w:b/>
                <w:bCs/>
                <w:sz w:val="24"/>
                <w:szCs w:val="24"/>
              </w:rPr>
              <w:lastRenderedPageBreak/>
              <w:t>资产分类</w:t>
            </w:r>
          </w:p>
        </w:tc>
        <w:tc>
          <w:tcPr>
            <w:tcW w:w="5862" w:type="dxa"/>
            <w:gridSpan w:val="2"/>
            <w:shd w:val="clear" w:color="auto" w:fill="auto"/>
            <w:vAlign w:val="bottom"/>
          </w:tcPr>
          <w:p w:rsidR="008D7670" w:rsidRPr="006901CA" w:rsidRDefault="008D7670" w:rsidP="006901CA">
            <w:pPr>
              <w:spacing w:line="360" w:lineRule="auto"/>
              <w:jc w:val="center"/>
              <w:rPr>
                <w:rFonts w:ascii="微软雅黑" w:eastAsia="微软雅黑" w:hAnsi="微软雅黑" w:cs="Arial"/>
                <w:b/>
                <w:bCs/>
                <w:sz w:val="24"/>
                <w:szCs w:val="24"/>
              </w:rPr>
            </w:pPr>
            <w:r w:rsidRPr="006901CA">
              <w:rPr>
                <w:rFonts w:ascii="微软雅黑" w:eastAsia="微软雅黑" w:hAnsi="微软雅黑" w:cs="Arial" w:hint="eastAsia"/>
                <w:b/>
                <w:bCs/>
                <w:sz w:val="24"/>
                <w:szCs w:val="24"/>
              </w:rPr>
              <w:t>占投资组合的比例占比（%）</w:t>
            </w:r>
          </w:p>
          <w:p w:rsidR="008D7670" w:rsidRPr="006901CA" w:rsidRDefault="008D7670" w:rsidP="006901CA">
            <w:pPr>
              <w:spacing w:line="360" w:lineRule="auto"/>
              <w:jc w:val="center"/>
              <w:rPr>
                <w:rFonts w:ascii="微软雅黑" w:eastAsia="微软雅黑" w:hAnsi="微软雅黑" w:cs="Arial"/>
                <w:b/>
                <w:bCs/>
                <w:sz w:val="24"/>
                <w:szCs w:val="24"/>
              </w:rPr>
            </w:pPr>
            <w:r w:rsidRPr="006901CA">
              <w:rPr>
                <w:rFonts w:ascii="微软雅黑" w:eastAsia="微软雅黑" w:hAnsi="微软雅黑" w:cs="Arial" w:hint="eastAsia"/>
                <w:b/>
                <w:bCs/>
                <w:sz w:val="24"/>
                <w:szCs w:val="24"/>
              </w:rPr>
              <w:t>期末</w:t>
            </w:r>
          </w:p>
        </w:tc>
      </w:tr>
      <w:tr w:rsidR="005F4D3A" w:rsidRPr="006901CA" w:rsidTr="0088189B">
        <w:tc>
          <w:tcPr>
            <w:tcW w:w="2660" w:type="dxa"/>
            <w:gridSpan w:val="3"/>
            <w:shd w:val="clear" w:color="auto" w:fill="auto"/>
            <w:vAlign w:val="bottom"/>
          </w:tcPr>
          <w:p w:rsidR="005F4D3A" w:rsidRPr="006901CA" w:rsidRDefault="005F4D3A" w:rsidP="006901CA">
            <w:pPr>
              <w:spacing w:line="360" w:lineRule="auto"/>
              <w:jc w:val="center"/>
              <w:rPr>
                <w:rFonts w:ascii="微软雅黑" w:eastAsia="微软雅黑" w:hAnsi="微软雅黑"/>
                <w:color w:val="000000" w:themeColor="text1"/>
                <w:sz w:val="24"/>
                <w:szCs w:val="24"/>
              </w:rPr>
            </w:pPr>
            <w:r w:rsidRPr="006901CA">
              <w:rPr>
                <w:rFonts w:ascii="微软雅黑" w:eastAsia="微软雅黑" w:hAnsi="微软雅黑"/>
                <w:color w:val="000000" w:themeColor="text1"/>
                <w:sz w:val="24"/>
                <w:szCs w:val="24"/>
              </w:rPr>
              <w:t>货币市场工具</w:t>
            </w:r>
          </w:p>
        </w:tc>
        <w:tc>
          <w:tcPr>
            <w:tcW w:w="5862" w:type="dxa"/>
            <w:gridSpan w:val="2"/>
            <w:shd w:val="clear" w:color="auto" w:fill="auto"/>
            <w:vAlign w:val="bottom"/>
          </w:tcPr>
          <w:p w:rsidR="005F4D3A" w:rsidRPr="005F4D3A" w:rsidRDefault="005F4D3A" w:rsidP="005F4D3A">
            <w:pPr>
              <w:spacing w:line="360" w:lineRule="auto"/>
              <w:jc w:val="center"/>
              <w:rPr>
                <w:rFonts w:ascii="微软雅黑" w:eastAsia="微软雅黑" w:hAnsi="微软雅黑"/>
                <w:color w:val="000000" w:themeColor="text1"/>
                <w:sz w:val="24"/>
                <w:szCs w:val="24"/>
              </w:rPr>
            </w:pPr>
            <w:r w:rsidRPr="005F4D3A">
              <w:rPr>
                <w:rFonts w:ascii="微软雅黑" w:eastAsia="微软雅黑" w:hAnsi="微软雅黑"/>
                <w:color w:val="000000" w:themeColor="text1"/>
                <w:sz w:val="24"/>
                <w:szCs w:val="24"/>
              </w:rPr>
              <w:t>7.93%</w:t>
            </w:r>
          </w:p>
        </w:tc>
      </w:tr>
      <w:tr w:rsidR="005F4D3A" w:rsidRPr="006901CA" w:rsidTr="0088189B">
        <w:tc>
          <w:tcPr>
            <w:tcW w:w="2660" w:type="dxa"/>
            <w:gridSpan w:val="3"/>
            <w:shd w:val="clear" w:color="auto" w:fill="auto"/>
            <w:vAlign w:val="bottom"/>
          </w:tcPr>
          <w:p w:rsidR="005F4D3A" w:rsidRPr="006901CA" w:rsidRDefault="005F4D3A" w:rsidP="006901CA">
            <w:pPr>
              <w:spacing w:line="360" w:lineRule="auto"/>
              <w:jc w:val="center"/>
              <w:rPr>
                <w:rFonts w:ascii="微软雅黑" w:eastAsia="微软雅黑" w:hAnsi="微软雅黑"/>
                <w:color w:val="000000" w:themeColor="text1"/>
                <w:sz w:val="24"/>
                <w:szCs w:val="24"/>
              </w:rPr>
            </w:pPr>
            <w:r w:rsidRPr="006901CA">
              <w:rPr>
                <w:rFonts w:ascii="微软雅黑" w:eastAsia="微软雅黑" w:hAnsi="微软雅黑"/>
                <w:color w:val="000000" w:themeColor="text1"/>
                <w:sz w:val="24"/>
                <w:szCs w:val="24"/>
              </w:rPr>
              <w:t>债券</w:t>
            </w:r>
          </w:p>
        </w:tc>
        <w:tc>
          <w:tcPr>
            <w:tcW w:w="5862" w:type="dxa"/>
            <w:gridSpan w:val="2"/>
            <w:shd w:val="clear" w:color="auto" w:fill="auto"/>
            <w:vAlign w:val="bottom"/>
          </w:tcPr>
          <w:p w:rsidR="005F4D3A" w:rsidRPr="005F4D3A" w:rsidRDefault="005F4D3A" w:rsidP="005F4D3A">
            <w:pPr>
              <w:spacing w:line="360" w:lineRule="auto"/>
              <w:jc w:val="center"/>
              <w:rPr>
                <w:rFonts w:ascii="微软雅黑" w:eastAsia="微软雅黑" w:hAnsi="微软雅黑"/>
                <w:color w:val="000000" w:themeColor="text1"/>
                <w:sz w:val="24"/>
                <w:szCs w:val="24"/>
              </w:rPr>
            </w:pPr>
            <w:r w:rsidRPr="005F4D3A">
              <w:rPr>
                <w:rFonts w:ascii="微软雅黑" w:eastAsia="微软雅黑" w:hAnsi="微软雅黑"/>
                <w:color w:val="000000" w:themeColor="text1"/>
                <w:sz w:val="24"/>
                <w:szCs w:val="24"/>
              </w:rPr>
              <w:t>36.72%</w:t>
            </w:r>
          </w:p>
        </w:tc>
      </w:tr>
      <w:tr w:rsidR="005F4D3A" w:rsidRPr="006901CA" w:rsidTr="0088189B">
        <w:tc>
          <w:tcPr>
            <w:tcW w:w="2660" w:type="dxa"/>
            <w:gridSpan w:val="3"/>
            <w:shd w:val="clear" w:color="auto" w:fill="auto"/>
            <w:vAlign w:val="bottom"/>
          </w:tcPr>
          <w:p w:rsidR="005F4D3A" w:rsidRPr="006901CA" w:rsidRDefault="005F4D3A" w:rsidP="006901CA">
            <w:pPr>
              <w:spacing w:line="360" w:lineRule="auto"/>
              <w:jc w:val="center"/>
              <w:rPr>
                <w:rFonts w:ascii="微软雅黑" w:eastAsia="微软雅黑" w:hAnsi="微软雅黑"/>
                <w:color w:val="000000" w:themeColor="text1"/>
                <w:sz w:val="24"/>
                <w:szCs w:val="24"/>
              </w:rPr>
            </w:pPr>
            <w:r w:rsidRPr="006901CA">
              <w:rPr>
                <w:rFonts w:ascii="微软雅黑" w:eastAsia="微软雅黑" w:hAnsi="微软雅黑"/>
                <w:color w:val="000000" w:themeColor="text1"/>
                <w:sz w:val="24"/>
                <w:szCs w:val="24"/>
              </w:rPr>
              <w:t>资产管理产品</w:t>
            </w:r>
          </w:p>
        </w:tc>
        <w:tc>
          <w:tcPr>
            <w:tcW w:w="5862" w:type="dxa"/>
            <w:gridSpan w:val="2"/>
            <w:shd w:val="clear" w:color="auto" w:fill="auto"/>
            <w:vAlign w:val="bottom"/>
          </w:tcPr>
          <w:p w:rsidR="005F4D3A" w:rsidRPr="006E2676" w:rsidRDefault="005F4D3A" w:rsidP="005F4D3A">
            <w:pPr>
              <w:spacing w:line="360" w:lineRule="auto"/>
              <w:jc w:val="center"/>
              <w:rPr>
                <w:rFonts w:ascii="微软雅黑" w:eastAsia="微软雅黑" w:hAnsi="微软雅黑"/>
                <w:sz w:val="24"/>
                <w:szCs w:val="24"/>
              </w:rPr>
            </w:pPr>
            <w:r w:rsidRPr="006E2676">
              <w:rPr>
                <w:rFonts w:ascii="微软雅黑" w:eastAsia="微软雅黑" w:hAnsi="微软雅黑"/>
                <w:sz w:val="24"/>
                <w:szCs w:val="24"/>
              </w:rPr>
              <w:t>55.35%</w:t>
            </w:r>
          </w:p>
        </w:tc>
      </w:tr>
      <w:tr w:rsidR="005F4D3A" w:rsidRPr="006901CA" w:rsidTr="0088189B">
        <w:tc>
          <w:tcPr>
            <w:tcW w:w="2660" w:type="dxa"/>
            <w:gridSpan w:val="3"/>
            <w:shd w:val="clear" w:color="auto" w:fill="auto"/>
            <w:vAlign w:val="bottom"/>
          </w:tcPr>
          <w:p w:rsidR="005F4D3A" w:rsidRPr="006901CA" w:rsidRDefault="005F4D3A" w:rsidP="006901CA">
            <w:pPr>
              <w:spacing w:line="360" w:lineRule="auto"/>
              <w:jc w:val="center"/>
              <w:rPr>
                <w:rFonts w:ascii="微软雅黑" w:eastAsia="微软雅黑" w:hAnsi="微软雅黑"/>
                <w:color w:val="000000" w:themeColor="text1"/>
                <w:sz w:val="24"/>
                <w:szCs w:val="24"/>
              </w:rPr>
            </w:pPr>
            <w:r w:rsidRPr="006901CA">
              <w:rPr>
                <w:rFonts w:ascii="微软雅黑" w:eastAsia="微软雅黑" w:hAnsi="微软雅黑"/>
                <w:color w:val="000000" w:themeColor="text1"/>
                <w:sz w:val="24"/>
                <w:szCs w:val="24"/>
              </w:rPr>
              <w:t>总计</w:t>
            </w:r>
          </w:p>
        </w:tc>
        <w:tc>
          <w:tcPr>
            <w:tcW w:w="5862" w:type="dxa"/>
            <w:gridSpan w:val="2"/>
            <w:shd w:val="clear" w:color="auto" w:fill="auto"/>
            <w:vAlign w:val="bottom"/>
          </w:tcPr>
          <w:p w:rsidR="005F4D3A" w:rsidRPr="005F4D3A" w:rsidRDefault="005F4D3A" w:rsidP="005F4D3A">
            <w:pPr>
              <w:spacing w:line="360" w:lineRule="auto"/>
              <w:jc w:val="center"/>
              <w:rPr>
                <w:rFonts w:ascii="微软雅黑" w:eastAsia="微软雅黑" w:hAnsi="微软雅黑"/>
                <w:color w:val="000000" w:themeColor="text1"/>
                <w:sz w:val="24"/>
                <w:szCs w:val="24"/>
              </w:rPr>
            </w:pPr>
            <w:r w:rsidRPr="005F4D3A">
              <w:rPr>
                <w:rFonts w:ascii="微软雅黑" w:eastAsia="微软雅黑" w:hAnsi="微软雅黑"/>
                <w:color w:val="000000" w:themeColor="text1"/>
                <w:sz w:val="24"/>
                <w:szCs w:val="24"/>
              </w:rPr>
              <w:t>100.00%</w:t>
            </w:r>
          </w:p>
        </w:tc>
      </w:tr>
      <w:tr w:rsidR="0080787C"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8522" w:type="dxa"/>
            <w:gridSpan w:val="5"/>
            <w:tcBorders>
              <w:bottom w:val="single" w:sz="4" w:space="0" w:color="auto"/>
            </w:tcBorders>
            <w:shd w:val="clear" w:color="auto" w:fill="DDD9C3" w:themeFill="background2" w:themeFillShade="E6"/>
            <w:vAlign w:val="bottom"/>
          </w:tcPr>
          <w:p w:rsidR="0080787C" w:rsidRPr="006901CA" w:rsidRDefault="0080787C" w:rsidP="006901CA">
            <w:pPr>
              <w:pStyle w:val="a6"/>
              <w:numPr>
                <w:ilvl w:val="0"/>
                <w:numId w:val="1"/>
              </w:numPr>
              <w:spacing w:line="360" w:lineRule="auto"/>
              <w:ind w:firstLineChars="0"/>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产品投资前十名债券明细</w:t>
            </w:r>
          </w:p>
        </w:tc>
      </w:tr>
      <w:tr w:rsidR="0080787C"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787C" w:rsidRPr="006901CA" w:rsidRDefault="0080787C" w:rsidP="006901CA">
            <w:pPr>
              <w:spacing w:line="360" w:lineRule="auto"/>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债券代码</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787C" w:rsidRPr="006901CA" w:rsidRDefault="0080787C" w:rsidP="006901CA">
            <w:pPr>
              <w:spacing w:line="360" w:lineRule="auto"/>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债券名称</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80787C" w:rsidRPr="006901CA" w:rsidRDefault="0080787C" w:rsidP="006901CA">
            <w:pPr>
              <w:spacing w:line="360" w:lineRule="auto"/>
              <w:jc w:val="center"/>
              <w:rPr>
                <w:rFonts w:ascii="微软雅黑" w:eastAsia="微软雅黑" w:hAnsi="微软雅黑"/>
                <w:b/>
                <w:color w:val="000000" w:themeColor="text1"/>
                <w:sz w:val="24"/>
                <w:szCs w:val="24"/>
              </w:rPr>
            </w:pPr>
            <w:r w:rsidRPr="006901CA">
              <w:rPr>
                <w:rFonts w:ascii="微软雅黑" w:eastAsia="微软雅黑" w:hAnsi="微软雅黑" w:hint="eastAsia"/>
                <w:b/>
                <w:color w:val="000000" w:themeColor="text1"/>
                <w:sz w:val="24"/>
                <w:szCs w:val="24"/>
              </w:rPr>
              <w:t>占投资组合的比例（%）</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118587</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16道桥01</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3.68%</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118677</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16</w:t>
            </w:r>
            <w:proofErr w:type="gramStart"/>
            <w:r w:rsidRPr="00B96875">
              <w:rPr>
                <w:rFonts w:ascii="微软雅黑" w:eastAsia="微软雅黑" w:hAnsi="微软雅黑"/>
                <w:color w:val="000000" w:themeColor="text1"/>
                <w:sz w:val="24"/>
                <w:szCs w:val="24"/>
              </w:rPr>
              <w:t>榕</w:t>
            </w:r>
            <w:proofErr w:type="gramEnd"/>
            <w:r w:rsidRPr="00B96875">
              <w:rPr>
                <w:rFonts w:ascii="微软雅黑" w:eastAsia="微软雅黑" w:hAnsi="微软雅黑"/>
                <w:color w:val="000000" w:themeColor="text1"/>
                <w:sz w:val="24"/>
                <w:szCs w:val="24"/>
              </w:rPr>
              <w:t>建01</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2.55%</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1421003</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14江南农商二级</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2.02%</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1680189</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16西湖债</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1.40%</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135029</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16兴长01</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1.30%</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135413</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16</w:t>
            </w:r>
            <w:proofErr w:type="gramStart"/>
            <w:r w:rsidRPr="00B96875">
              <w:rPr>
                <w:rFonts w:ascii="微软雅黑" w:eastAsia="微软雅黑" w:hAnsi="微软雅黑"/>
                <w:color w:val="000000" w:themeColor="text1"/>
                <w:sz w:val="24"/>
                <w:szCs w:val="24"/>
              </w:rPr>
              <w:t>内投债</w:t>
            </w:r>
            <w:proofErr w:type="gramEnd"/>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1.29%</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101758045</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17新发集团MTN002</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1.26%</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1521021</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15南海农商二级</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1.25%</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1520082</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15营口银行二级</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1.24%</w:t>
            </w:r>
          </w:p>
        </w:tc>
      </w:tr>
      <w:tr w:rsidR="00F24066" w:rsidRPr="006901CA" w:rsidTr="0062630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1520078</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15包商银行二级</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rsidR="00F24066" w:rsidRPr="00B96875" w:rsidRDefault="00F24066" w:rsidP="00B96875">
            <w:pPr>
              <w:spacing w:line="360" w:lineRule="auto"/>
              <w:jc w:val="center"/>
              <w:rPr>
                <w:rFonts w:ascii="微软雅黑" w:eastAsia="微软雅黑" w:hAnsi="微软雅黑"/>
                <w:color w:val="000000" w:themeColor="text1"/>
                <w:sz w:val="24"/>
                <w:szCs w:val="24"/>
              </w:rPr>
            </w:pPr>
            <w:r w:rsidRPr="00B96875">
              <w:rPr>
                <w:rFonts w:ascii="微软雅黑" w:eastAsia="微软雅黑" w:hAnsi="微软雅黑"/>
                <w:color w:val="000000" w:themeColor="text1"/>
                <w:sz w:val="24"/>
                <w:szCs w:val="24"/>
              </w:rPr>
              <w:t>1.24%</w:t>
            </w:r>
          </w:p>
        </w:tc>
      </w:tr>
      <w:tr w:rsidR="00AF54A8" w:rsidRPr="00627A00" w:rsidTr="008016C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8522" w:type="dxa"/>
            <w:gridSpan w:val="5"/>
            <w:tcBorders>
              <w:bottom w:val="single" w:sz="4" w:space="0" w:color="auto"/>
            </w:tcBorders>
            <w:shd w:val="clear" w:color="auto" w:fill="DDD9C3" w:themeFill="background2" w:themeFillShade="E6"/>
            <w:vAlign w:val="bottom"/>
          </w:tcPr>
          <w:p w:rsidR="00AF54A8" w:rsidRPr="00627A00" w:rsidRDefault="00AF54A8" w:rsidP="008016C9">
            <w:pPr>
              <w:pStyle w:val="a6"/>
              <w:numPr>
                <w:ilvl w:val="0"/>
                <w:numId w:val="1"/>
              </w:numPr>
              <w:spacing w:line="360" w:lineRule="auto"/>
              <w:ind w:firstLineChars="0"/>
              <w:jc w:val="center"/>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市场展望及投资策略</w:t>
            </w:r>
          </w:p>
        </w:tc>
      </w:tr>
      <w:tr w:rsidR="00AF54A8" w:rsidRPr="00FD4AB8" w:rsidTr="008016C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85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F54A8" w:rsidRPr="00FD4AB8" w:rsidRDefault="00AF54A8" w:rsidP="008016C9">
            <w:pPr>
              <w:spacing w:line="360" w:lineRule="auto"/>
              <w:ind w:firstLineChars="200" w:firstLine="480"/>
              <w:rPr>
                <w:rFonts w:ascii="微软雅黑" w:eastAsia="微软雅黑" w:hAnsi="微软雅黑"/>
                <w:color w:val="000000" w:themeColor="text1"/>
                <w:sz w:val="24"/>
                <w:szCs w:val="24"/>
              </w:rPr>
            </w:pPr>
            <w:r w:rsidRPr="00FD4AB8">
              <w:rPr>
                <w:rFonts w:ascii="微软雅黑" w:eastAsia="微软雅黑" w:hAnsi="微软雅黑" w:hint="eastAsia"/>
                <w:color w:val="000000" w:themeColor="text1"/>
                <w:sz w:val="24"/>
                <w:szCs w:val="24"/>
              </w:rPr>
              <w:t>春节之后由于资金宽松、对基本面下行的一致预期、高层对金融去杠杆的态度缓和，以及近期的贸易战，使得资金利率、现券利率快速下行。反映同业融资</w:t>
            </w:r>
            <w:r w:rsidRPr="00FD4AB8">
              <w:rPr>
                <w:rFonts w:ascii="微软雅黑" w:eastAsia="微软雅黑" w:hAnsi="微软雅黑" w:hint="eastAsia"/>
                <w:color w:val="000000" w:themeColor="text1"/>
                <w:sz w:val="24"/>
                <w:szCs w:val="24"/>
              </w:rPr>
              <w:lastRenderedPageBreak/>
              <w:t>成本的3M SHIBOR和反映短期资金价格的FR007的利差也快速下行。目前来看，短期内利率</w:t>
            </w:r>
            <w:proofErr w:type="gramStart"/>
            <w:r w:rsidRPr="00FD4AB8">
              <w:rPr>
                <w:rFonts w:ascii="微软雅黑" w:eastAsia="微软雅黑" w:hAnsi="微软雅黑" w:hint="eastAsia"/>
                <w:color w:val="000000" w:themeColor="text1"/>
                <w:sz w:val="24"/>
                <w:szCs w:val="24"/>
              </w:rPr>
              <w:t>债面临</w:t>
            </w:r>
            <w:proofErr w:type="gramEnd"/>
            <w:r w:rsidRPr="00FD4AB8">
              <w:rPr>
                <w:rFonts w:ascii="微软雅黑" w:eastAsia="微软雅黑" w:hAnsi="微软雅黑" w:hint="eastAsia"/>
                <w:color w:val="000000" w:themeColor="text1"/>
                <w:sz w:val="24"/>
                <w:szCs w:val="24"/>
              </w:rPr>
              <w:t>的利空较少而利多较多，对于长债可以适当通过交易博取波段收益，对于短债可以适当配置。长期则看国内外各种因素的演化，重点关注贸易战的发展、油价及大宗商品价格是否催生通胀、十年美</w:t>
            </w:r>
            <w:proofErr w:type="gramStart"/>
            <w:r w:rsidRPr="00FD4AB8">
              <w:rPr>
                <w:rFonts w:ascii="微软雅黑" w:eastAsia="微软雅黑" w:hAnsi="微软雅黑" w:hint="eastAsia"/>
                <w:color w:val="000000" w:themeColor="text1"/>
                <w:sz w:val="24"/>
                <w:szCs w:val="24"/>
              </w:rPr>
              <w:t>债是否</w:t>
            </w:r>
            <w:proofErr w:type="gramEnd"/>
            <w:r w:rsidRPr="00FD4AB8">
              <w:rPr>
                <w:rFonts w:ascii="微软雅黑" w:eastAsia="微软雅黑" w:hAnsi="微软雅黑" w:hint="eastAsia"/>
                <w:color w:val="000000" w:themeColor="text1"/>
                <w:sz w:val="24"/>
                <w:szCs w:val="24"/>
              </w:rPr>
              <w:t>继续上行。</w:t>
            </w:r>
          </w:p>
          <w:p w:rsidR="00AF54A8" w:rsidRPr="00FD4AB8" w:rsidRDefault="00AF54A8" w:rsidP="008016C9">
            <w:pPr>
              <w:spacing w:line="360" w:lineRule="auto"/>
              <w:ind w:firstLineChars="200" w:firstLine="480"/>
            </w:pPr>
            <w:r w:rsidRPr="00FD4AB8">
              <w:rPr>
                <w:rFonts w:ascii="微软雅黑" w:eastAsia="微软雅黑" w:hAnsi="微软雅黑" w:hint="eastAsia"/>
                <w:color w:val="000000" w:themeColor="text1"/>
                <w:sz w:val="24"/>
                <w:szCs w:val="24"/>
              </w:rPr>
              <w:t>信用</w:t>
            </w:r>
            <w:r>
              <w:rPr>
                <w:rFonts w:ascii="微软雅黑" w:eastAsia="微软雅黑" w:hAnsi="微软雅黑" w:hint="eastAsia"/>
                <w:color w:val="000000" w:themeColor="text1"/>
                <w:sz w:val="24"/>
                <w:szCs w:val="24"/>
              </w:rPr>
              <w:t>债</w:t>
            </w:r>
            <w:r w:rsidRPr="00FD4AB8">
              <w:rPr>
                <w:rFonts w:ascii="微软雅黑" w:eastAsia="微软雅黑" w:hAnsi="微软雅黑" w:hint="eastAsia"/>
                <w:color w:val="000000" w:themeColor="text1"/>
                <w:sz w:val="24"/>
                <w:szCs w:val="24"/>
              </w:rPr>
              <w:t>方面，去杠杆背景</w:t>
            </w:r>
            <w:proofErr w:type="gramStart"/>
            <w:r w:rsidRPr="00FD4AB8">
              <w:rPr>
                <w:rFonts w:ascii="微软雅黑" w:eastAsia="微软雅黑" w:hAnsi="微软雅黑" w:hint="eastAsia"/>
                <w:color w:val="000000" w:themeColor="text1"/>
                <w:sz w:val="24"/>
                <w:szCs w:val="24"/>
              </w:rPr>
              <w:t>下今年</w:t>
            </w:r>
            <w:proofErr w:type="gramEnd"/>
            <w:r w:rsidRPr="00FD4AB8">
              <w:rPr>
                <w:rFonts w:ascii="微软雅黑" w:eastAsia="微软雅黑" w:hAnsi="微软雅黑" w:hint="eastAsia"/>
                <w:color w:val="000000" w:themeColor="text1"/>
                <w:sz w:val="24"/>
                <w:szCs w:val="24"/>
              </w:rPr>
              <w:t>更可能是结构性的宽松而不是大水漫灌式的宽松，</w:t>
            </w:r>
            <w:proofErr w:type="gramStart"/>
            <w:r w:rsidRPr="00FD4AB8">
              <w:rPr>
                <w:rFonts w:ascii="微软雅黑" w:eastAsia="微软雅黑" w:hAnsi="微软雅黑" w:hint="eastAsia"/>
                <w:color w:val="000000" w:themeColor="text1"/>
                <w:sz w:val="24"/>
                <w:szCs w:val="24"/>
              </w:rPr>
              <w:t>资管的</w:t>
            </w:r>
            <w:proofErr w:type="gramEnd"/>
            <w:r w:rsidRPr="00FD4AB8">
              <w:rPr>
                <w:rFonts w:ascii="微软雅黑" w:eastAsia="微软雅黑" w:hAnsi="微软雅黑" w:hint="eastAsia"/>
                <w:color w:val="000000" w:themeColor="text1"/>
                <w:sz w:val="24"/>
                <w:szCs w:val="24"/>
              </w:rPr>
              <w:t>转型导致的信用债配置力量的变化也会导致风险偏好的变化和流动性的变化，23号文对地方融资平台的融资收紧也只是一个开始，综合以上因素，我们判断信用</w:t>
            </w:r>
            <w:r>
              <w:rPr>
                <w:rFonts w:ascii="微软雅黑" w:eastAsia="微软雅黑" w:hAnsi="微软雅黑" w:hint="eastAsia"/>
                <w:color w:val="000000" w:themeColor="text1"/>
                <w:sz w:val="24"/>
                <w:szCs w:val="24"/>
              </w:rPr>
              <w:t>债</w:t>
            </w:r>
            <w:r w:rsidRPr="00FD4AB8">
              <w:rPr>
                <w:rFonts w:ascii="微软雅黑" w:eastAsia="微软雅黑" w:hAnsi="微软雅黑" w:hint="eastAsia"/>
                <w:color w:val="000000" w:themeColor="text1"/>
                <w:sz w:val="24"/>
                <w:szCs w:val="24"/>
              </w:rPr>
              <w:t>在信用利差和流动性利差方面会产生更多的分化，</w:t>
            </w:r>
            <w:proofErr w:type="gramStart"/>
            <w:r w:rsidRPr="00FD4AB8">
              <w:rPr>
                <w:rFonts w:ascii="微软雅黑" w:eastAsia="微软雅黑" w:hAnsi="微软雅黑" w:hint="eastAsia"/>
                <w:color w:val="000000" w:themeColor="text1"/>
                <w:sz w:val="24"/>
                <w:szCs w:val="24"/>
              </w:rPr>
              <w:t>持有低</w:t>
            </w:r>
            <w:proofErr w:type="gramEnd"/>
            <w:r w:rsidRPr="00FD4AB8">
              <w:rPr>
                <w:rFonts w:ascii="微软雅黑" w:eastAsia="微软雅黑" w:hAnsi="微软雅黑" w:hint="eastAsia"/>
                <w:color w:val="000000" w:themeColor="text1"/>
                <w:sz w:val="24"/>
                <w:szCs w:val="24"/>
              </w:rPr>
              <w:t>等级信用债博取高票息的风险越来越大，建议选择中高评级进行配置。</w:t>
            </w:r>
          </w:p>
        </w:tc>
      </w:tr>
    </w:tbl>
    <w:p w:rsidR="00B35C29" w:rsidRPr="006901CA" w:rsidRDefault="00262641" w:rsidP="006901CA">
      <w:pPr>
        <w:spacing w:line="360" w:lineRule="auto"/>
        <w:jc w:val="center"/>
        <w:rPr>
          <w:rFonts w:ascii="微软雅黑" w:eastAsia="微软雅黑" w:hAnsi="微软雅黑"/>
          <w:sz w:val="24"/>
          <w:szCs w:val="24"/>
        </w:rPr>
      </w:pPr>
      <w:bookmarkStart w:id="0" w:name="_GoBack"/>
      <w:bookmarkEnd w:id="0"/>
      <w:r w:rsidRPr="006901CA">
        <w:rPr>
          <w:rFonts w:ascii="微软雅黑" w:eastAsia="微软雅黑" w:hAnsi="微软雅黑" w:hint="eastAsia"/>
          <w:sz w:val="24"/>
          <w:szCs w:val="24"/>
        </w:rPr>
        <w:lastRenderedPageBreak/>
        <w:t>（完）</w:t>
      </w:r>
    </w:p>
    <w:p w:rsidR="00B35C29" w:rsidRPr="006901CA" w:rsidRDefault="00B35C29" w:rsidP="006901CA">
      <w:pPr>
        <w:spacing w:line="360" w:lineRule="auto"/>
        <w:rPr>
          <w:rFonts w:ascii="微软雅黑" w:eastAsia="微软雅黑" w:hAnsi="微软雅黑"/>
          <w:sz w:val="24"/>
          <w:szCs w:val="24"/>
        </w:rPr>
      </w:pPr>
    </w:p>
    <w:sectPr w:rsidR="00B35C29" w:rsidRPr="006901CA" w:rsidSect="0096571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E5B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E5B2C" w16cid:durableId="1E6F09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B7" w:rsidRDefault="007955B7" w:rsidP="00BF1F4D">
      <w:r>
        <w:separator/>
      </w:r>
    </w:p>
  </w:endnote>
  <w:endnote w:type="continuationSeparator" w:id="0">
    <w:p w:rsidR="007955B7" w:rsidRDefault="007955B7" w:rsidP="00BF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B7" w:rsidRDefault="007955B7" w:rsidP="00BF1F4D">
      <w:r>
        <w:separator/>
      </w:r>
    </w:p>
  </w:footnote>
  <w:footnote w:type="continuationSeparator" w:id="0">
    <w:p w:rsidR="007955B7" w:rsidRDefault="007955B7" w:rsidP="00BF1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A596A"/>
    <w:multiLevelType w:val="hybridMultilevel"/>
    <w:tmpl w:val="EFAE6BB6"/>
    <w:lvl w:ilvl="0" w:tplc="8AE01974">
      <w:start w:val="1"/>
      <w:numFmt w:val="decimal"/>
      <w:lvlText w:val="%1."/>
      <w:lvlJc w:val="left"/>
      <w:pPr>
        <w:ind w:left="420" w:hanging="420"/>
      </w:pPr>
      <w:rPr>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F4D"/>
    <w:rsid w:val="00004E7E"/>
    <w:rsid w:val="00010C49"/>
    <w:rsid w:val="000224F2"/>
    <w:rsid w:val="00026AFB"/>
    <w:rsid w:val="00051200"/>
    <w:rsid w:val="0005627A"/>
    <w:rsid w:val="00064173"/>
    <w:rsid w:val="00071A3E"/>
    <w:rsid w:val="000A243F"/>
    <w:rsid w:val="000B70E7"/>
    <w:rsid w:val="000D3E18"/>
    <w:rsid w:val="000F1898"/>
    <w:rsid w:val="000F238A"/>
    <w:rsid w:val="00132C23"/>
    <w:rsid w:val="00132D00"/>
    <w:rsid w:val="00134B78"/>
    <w:rsid w:val="00161691"/>
    <w:rsid w:val="00170116"/>
    <w:rsid w:val="00172C39"/>
    <w:rsid w:val="00176851"/>
    <w:rsid w:val="00177B39"/>
    <w:rsid w:val="001A222F"/>
    <w:rsid w:val="001B5538"/>
    <w:rsid w:val="001C0758"/>
    <w:rsid w:val="001C56C3"/>
    <w:rsid w:val="001D0718"/>
    <w:rsid w:val="001F0456"/>
    <w:rsid w:val="001F76FD"/>
    <w:rsid w:val="00201A74"/>
    <w:rsid w:val="00205A1B"/>
    <w:rsid w:val="002501E5"/>
    <w:rsid w:val="00255D79"/>
    <w:rsid w:val="00256819"/>
    <w:rsid w:val="00262641"/>
    <w:rsid w:val="00267749"/>
    <w:rsid w:val="002860DF"/>
    <w:rsid w:val="002B0D20"/>
    <w:rsid w:val="002C6ACE"/>
    <w:rsid w:val="002D57C3"/>
    <w:rsid w:val="002E6852"/>
    <w:rsid w:val="002E7A1F"/>
    <w:rsid w:val="002F5CAB"/>
    <w:rsid w:val="002F6A60"/>
    <w:rsid w:val="003201AE"/>
    <w:rsid w:val="003567D1"/>
    <w:rsid w:val="00360659"/>
    <w:rsid w:val="003629D0"/>
    <w:rsid w:val="00387C40"/>
    <w:rsid w:val="00394B56"/>
    <w:rsid w:val="00395BD3"/>
    <w:rsid w:val="00395F8B"/>
    <w:rsid w:val="003B1958"/>
    <w:rsid w:val="003D2891"/>
    <w:rsid w:val="003D63D3"/>
    <w:rsid w:val="003E0F41"/>
    <w:rsid w:val="004006C4"/>
    <w:rsid w:val="004227D8"/>
    <w:rsid w:val="00427570"/>
    <w:rsid w:val="0043722D"/>
    <w:rsid w:val="00446EEC"/>
    <w:rsid w:val="00447DA1"/>
    <w:rsid w:val="004566F3"/>
    <w:rsid w:val="00460035"/>
    <w:rsid w:val="00460B77"/>
    <w:rsid w:val="00475B77"/>
    <w:rsid w:val="00477CB2"/>
    <w:rsid w:val="004B5B3D"/>
    <w:rsid w:val="004C47C2"/>
    <w:rsid w:val="004C5841"/>
    <w:rsid w:val="004D569D"/>
    <w:rsid w:val="004E25A6"/>
    <w:rsid w:val="005032AC"/>
    <w:rsid w:val="0050487B"/>
    <w:rsid w:val="0050684E"/>
    <w:rsid w:val="00506881"/>
    <w:rsid w:val="0051301D"/>
    <w:rsid w:val="005173A4"/>
    <w:rsid w:val="00524147"/>
    <w:rsid w:val="00526459"/>
    <w:rsid w:val="00543026"/>
    <w:rsid w:val="005460BE"/>
    <w:rsid w:val="0055271C"/>
    <w:rsid w:val="00561E04"/>
    <w:rsid w:val="0056344E"/>
    <w:rsid w:val="00564F91"/>
    <w:rsid w:val="005747B3"/>
    <w:rsid w:val="00585098"/>
    <w:rsid w:val="00591202"/>
    <w:rsid w:val="00591F49"/>
    <w:rsid w:val="005F4D3A"/>
    <w:rsid w:val="00616281"/>
    <w:rsid w:val="006420F4"/>
    <w:rsid w:val="006442B1"/>
    <w:rsid w:val="0064694D"/>
    <w:rsid w:val="00675C8E"/>
    <w:rsid w:val="006770D2"/>
    <w:rsid w:val="0067780B"/>
    <w:rsid w:val="006842EB"/>
    <w:rsid w:val="006901CA"/>
    <w:rsid w:val="00694AC7"/>
    <w:rsid w:val="006B5ABF"/>
    <w:rsid w:val="006C71C9"/>
    <w:rsid w:val="006D24AA"/>
    <w:rsid w:val="006E2676"/>
    <w:rsid w:val="00702FB3"/>
    <w:rsid w:val="00707198"/>
    <w:rsid w:val="00710929"/>
    <w:rsid w:val="00715AC5"/>
    <w:rsid w:val="0071712A"/>
    <w:rsid w:val="007246A3"/>
    <w:rsid w:val="00737002"/>
    <w:rsid w:val="0074513C"/>
    <w:rsid w:val="00762E87"/>
    <w:rsid w:val="00771338"/>
    <w:rsid w:val="00780E3D"/>
    <w:rsid w:val="00782257"/>
    <w:rsid w:val="007955B7"/>
    <w:rsid w:val="007D7769"/>
    <w:rsid w:val="008029B7"/>
    <w:rsid w:val="0080787C"/>
    <w:rsid w:val="008078BF"/>
    <w:rsid w:val="00811E1C"/>
    <w:rsid w:val="00816A79"/>
    <w:rsid w:val="0081727D"/>
    <w:rsid w:val="0084144E"/>
    <w:rsid w:val="0088189B"/>
    <w:rsid w:val="008847B6"/>
    <w:rsid w:val="008A3B33"/>
    <w:rsid w:val="008C1A99"/>
    <w:rsid w:val="008C2C00"/>
    <w:rsid w:val="008C35EE"/>
    <w:rsid w:val="008D2FF8"/>
    <w:rsid w:val="008D3306"/>
    <w:rsid w:val="008D3340"/>
    <w:rsid w:val="008D7670"/>
    <w:rsid w:val="00900368"/>
    <w:rsid w:val="00900FF8"/>
    <w:rsid w:val="00932CFC"/>
    <w:rsid w:val="00934A9A"/>
    <w:rsid w:val="00953DBC"/>
    <w:rsid w:val="00965717"/>
    <w:rsid w:val="00970907"/>
    <w:rsid w:val="009969B7"/>
    <w:rsid w:val="009A2634"/>
    <w:rsid w:val="009B2131"/>
    <w:rsid w:val="009E730D"/>
    <w:rsid w:val="009F1559"/>
    <w:rsid w:val="009F20F5"/>
    <w:rsid w:val="009F342C"/>
    <w:rsid w:val="00A0753B"/>
    <w:rsid w:val="00A12F32"/>
    <w:rsid w:val="00A25050"/>
    <w:rsid w:val="00A250F7"/>
    <w:rsid w:val="00A34743"/>
    <w:rsid w:val="00A347FA"/>
    <w:rsid w:val="00A352E7"/>
    <w:rsid w:val="00A417E5"/>
    <w:rsid w:val="00A474D8"/>
    <w:rsid w:val="00A57902"/>
    <w:rsid w:val="00A6634D"/>
    <w:rsid w:val="00A66EE5"/>
    <w:rsid w:val="00A752D1"/>
    <w:rsid w:val="00A775C4"/>
    <w:rsid w:val="00A867C6"/>
    <w:rsid w:val="00A94B86"/>
    <w:rsid w:val="00A94E29"/>
    <w:rsid w:val="00A978AC"/>
    <w:rsid w:val="00AA2DB7"/>
    <w:rsid w:val="00AA76FE"/>
    <w:rsid w:val="00AB1B0C"/>
    <w:rsid w:val="00AB2079"/>
    <w:rsid w:val="00AC12DF"/>
    <w:rsid w:val="00AC428B"/>
    <w:rsid w:val="00AC42DF"/>
    <w:rsid w:val="00AD1FDC"/>
    <w:rsid w:val="00AD7642"/>
    <w:rsid w:val="00AE506A"/>
    <w:rsid w:val="00AF54A8"/>
    <w:rsid w:val="00B15EAE"/>
    <w:rsid w:val="00B23619"/>
    <w:rsid w:val="00B30527"/>
    <w:rsid w:val="00B32F90"/>
    <w:rsid w:val="00B35C29"/>
    <w:rsid w:val="00B53422"/>
    <w:rsid w:val="00B613D6"/>
    <w:rsid w:val="00B64B5A"/>
    <w:rsid w:val="00B95984"/>
    <w:rsid w:val="00B96875"/>
    <w:rsid w:val="00BA2DC5"/>
    <w:rsid w:val="00BA7A66"/>
    <w:rsid w:val="00BB45D3"/>
    <w:rsid w:val="00BF1F4D"/>
    <w:rsid w:val="00BF48FB"/>
    <w:rsid w:val="00C0338E"/>
    <w:rsid w:val="00C175D1"/>
    <w:rsid w:val="00C239AC"/>
    <w:rsid w:val="00C26914"/>
    <w:rsid w:val="00C40057"/>
    <w:rsid w:val="00C84034"/>
    <w:rsid w:val="00C856DA"/>
    <w:rsid w:val="00C8778E"/>
    <w:rsid w:val="00C93BD5"/>
    <w:rsid w:val="00CC2632"/>
    <w:rsid w:val="00CD1DE3"/>
    <w:rsid w:val="00CE2E40"/>
    <w:rsid w:val="00CE4582"/>
    <w:rsid w:val="00D21B2E"/>
    <w:rsid w:val="00D323D6"/>
    <w:rsid w:val="00D366B2"/>
    <w:rsid w:val="00D50E29"/>
    <w:rsid w:val="00D531CB"/>
    <w:rsid w:val="00D62D0C"/>
    <w:rsid w:val="00D708A5"/>
    <w:rsid w:val="00D76D0F"/>
    <w:rsid w:val="00DA1854"/>
    <w:rsid w:val="00DC1553"/>
    <w:rsid w:val="00DC17C7"/>
    <w:rsid w:val="00DD5B77"/>
    <w:rsid w:val="00DD5DDF"/>
    <w:rsid w:val="00DF653F"/>
    <w:rsid w:val="00DF66E4"/>
    <w:rsid w:val="00E046AA"/>
    <w:rsid w:val="00E11F8A"/>
    <w:rsid w:val="00E161C4"/>
    <w:rsid w:val="00E43A42"/>
    <w:rsid w:val="00E53555"/>
    <w:rsid w:val="00E60879"/>
    <w:rsid w:val="00E96156"/>
    <w:rsid w:val="00EA741B"/>
    <w:rsid w:val="00EB4EBB"/>
    <w:rsid w:val="00F24066"/>
    <w:rsid w:val="00F26A30"/>
    <w:rsid w:val="00F34CD1"/>
    <w:rsid w:val="00F409B9"/>
    <w:rsid w:val="00F50A5A"/>
    <w:rsid w:val="00F53763"/>
    <w:rsid w:val="00F54297"/>
    <w:rsid w:val="00F935DE"/>
    <w:rsid w:val="00F94EEC"/>
    <w:rsid w:val="00FA5957"/>
    <w:rsid w:val="00FC231E"/>
    <w:rsid w:val="00FC2A93"/>
    <w:rsid w:val="00FD0ADB"/>
    <w:rsid w:val="00FE631D"/>
    <w:rsid w:val="00FF2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17"/>
    <w:pPr>
      <w:widowControl w:val="0"/>
      <w:jc w:val="both"/>
    </w:pPr>
  </w:style>
  <w:style w:type="paragraph" w:styleId="1">
    <w:name w:val="heading 1"/>
    <w:basedOn w:val="a"/>
    <w:next w:val="a"/>
    <w:link w:val="1Char"/>
    <w:uiPriority w:val="9"/>
    <w:qFormat/>
    <w:rsid w:val="00255D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F4D"/>
    <w:rPr>
      <w:sz w:val="18"/>
      <w:szCs w:val="18"/>
    </w:rPr>
  </w:style>
  <w:style w:type="paragraph" w:styleId="a4">
    <w:name w:val="footer"/>
    <w:basedOn w:val="a"/>
    <w:link w:val="Char0"/>
    <w:uiPriority w:val="99"/>
    <w:unhideWhenUsed/>
    <w:rsid w:val="00BF1F4D"/>
    <w:pPr>
      <w:tabs>
        <w:tab w:val="center" w:pos="4153"/>
        <w:tab w:val="right" w:pos="8306"/>
      </w:tabs>
      <w:snapToGrid w:val="0"/>
      <w:jc w:val="left"/>
    </w:pPr>
    <w:rPr>
      <w:sz w:val="18"/>
      <w:szCs w:val="18"/>
    </w:rPr>
  </w:style>
  <w:style w:type="character" w:customStyle="1" w:styleId="Char0">
    <w:name w:val="页脚 Char"/>
    <w:basedOn w:val="a0"/>
    <w:link w:val="a4"/>
    <w:uiPriority w:val="99"/>
    <w:rsid w:val="00BF1F4D"/>
    <w:rPr>
      <w:sz w:val="18"/>
      <w:szCs w:val="18"/>
    </w:rPr>
  </w:style>
  <w:style w:type="table" w:styleId="a5">
    <w:name w:val="Table Grid"/>
    <w:basedOn w:val="a1"/>
    <w:uiPriority w:val="59"/>
    <w:rsid w:val="004C58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C5841"/>
    <w:pPr>
      <w:ind w:firstLineChars="200" w:firstLine="420"/>
    </w:pPr>
  </w:style>
  <w:style w:type="character" w:styleId="a7">
    <w:name w:val="annotation reference"/>
    <w:basedOn w:val="a0"/>
    <w:uiPriority w:val="99"/>
    <w:semiHidden/>
    <w:unhideWhenUsed/>
    <w:rsid w:val="002860DF"/>
    <w:rPr>
      <w:sz w:val="21"/>
      <w:szCs w:val="21"/>
    </w:rPr>
  </w:style>
  <w:style w:type="paragraph" w:styleId="a8">
    <w:name w:val="annotation text"/>
    <w:basedOn w:val="a"/>
    <w:link w:val="Char1"/>
    <w:uiPriority w:val="99"/>
    <w:semiHidden/>
    <w:unhideWhenUsed/>
    <w:rsid w:val="002860DF"/>
    <w:pPr>
      <w:jc w:val="left"/>
    </w:pPr>
  </w:style>
  <w:style w:type="character" w:customStyle="1" w:styleId="Char1">
    <w:name w:val="批注文字 Char"/>
    <w:basedOn w:val="a0"/>
    <w:link w:val="a8"/>
    <w:uiPriority w:val="99"/>
    <w:semiHidden/>
    <w:rsid w:val="002860DF"/>
  </w:style>
  <w:style w:type="paragraph" w:styleId="a9">
    <w:name w:val="annotation subject"/>
    <w:basedOn w:val="a8"/>
    <w:next w:val="a8"/>
    <w:link w:val="Char2"/>
    <w:uiPriority w:val="99"/>
    <w:semiHidden/>
    <w:unhideWhenUsed/>
    <w:rsid w:val="002860DF"/>
    <w:rPr>
      <w:b/>
      <w:bCs/>
    </w:rPr>
  </w:style>
  <w:style w:type="character" w:customStyle="1" w:styleId="Char2">
    <w:name w:val="批注主题 Char"/>
    <w:basedOn w:val="Char1"/>
    <w:link w:val="a9"/>
    <w:uiPriority w:val="99"/>
    <w:semiHidden/>
    <w:rsid w:val="002860DF"/>
    <w:rPr>
      <w:b/>
      <w:bCs/>
    </w:rPr>
  </w:style>
  <w:style w:type="paragraph" w:styleId="aa">
    <w:name w:val="Balloon Text"/>
    <w:basedOn w:val="a"/>
    <w:link w:val="Char3"/>
    <w:uiPriority w:val="99"/>
    <w:semiHidden/>
    <w:unhideWhenUsed/>
    <w:rsid w:val="002860DF"/>
    <w:rPr>
      <w:sz w:val="18"/>
      <w:szCs w:val="18"/>
    </w:rPr>
  </w:style>
  <w:style w:type="character" w:customStyle="1" w:styleId="Char3">
    <w:name w:val="批注框文本 Char"/>
    <w:basedOn w:val="a0"/>
    <w:link w:val="aa"/>
    <w:uiPriority w:val="99"/>
    <w:semiHidden/>
    <w:rsid w:val="002860DF"/>
    <w:rPr>
      <w:sz w:val="18"/>
      <w:szCs w:val="18"/>
    </w:rPr>
  </w:style>
  <w:style w:type="paragraph" w:styleId="ab">
    <w:name w:val="footnote text"/>
    <w:basedOn w:val="a"/>
    <w:link w:val="Char4"/>
    <w:uiPriority w:val="99"/>
    <w:semiHidden/>
    <w:unhideWhenUsed/>
    <w:rsid w:val="005173A4"/>
    <w:pPr>
      <w:snapToGrid w:val="0"/>
      <w:jc w:val="left"/>
    </w:pPr>
    <w:rPr>
      <w:sz w:val="18"/>
      <w:szCs w:val="18"/>
    </w:rPr>
  </w:style>
  <w:style w:type="character" w:customStyle="1" w:styleId="Char4">
    <w:name w:val="脚注文本 Char"/>
    <w:basedOn w:val="a0"/>
    <w:link w:val="ab"/>
    <w:uiPriority w:val="99"/>
    <w:semiHidden/>
    <w:rsid w:val="005173A4"/>
    <w:rPr>
      <w:sz w:val="18"/>
      <w:szCs w:val="18"/>
    </w:rPr>
  </w:style>
  <w:style w:type="character" w:styleId="ac">
    <w:name w:val="footnote reference"/>
    <w:basedOn w:val="a0"/>
    <w:uiPriority w:val="99"/>
    <w:semiHidden/>
    <w:unhideWhenUsed/>
    <w:rsid w:val="005173A4"/>
    <w:rPr>
      <w:vertAlign w:val="superscript"/>
    </w:rPr>
  </w:style>
  <w:style w:type="character" w:customStyle="1" w:styleId="1Char">
    <w:name w:val="标题 1 Char"/>
    <w:basedOn w:val="a0"/>
    <w:link w:val="1"/>
    <w:uiPriority w:val="9"/>
    <w:rsid w:val="00255D79"/>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2824059">
      <w:bodyDiv w:val="1"/>
      <w:marLeft w:val="0"/>
      <w:marRight w:val="0"/>
      <w:marTop w:val="0"/>
      <w:marBottom w:val="0"/>
      <w:divBdr>
        <w:top w:val="none" w:sz="0" w:space="0" w:color="auto"/>
        <w:left w:val="none" w:sz="0" w:space="0" w:color="auto"/>
        <w:bottom w:val="none" w:sz="0" w:space="0" w:color="auto"/>
        <w:right w:val="none" w:sz="0" w:space="0" w:color="auto"/>
      </w:divBdr>
    </w:div>
    <w:div w:id="74403348">
      <w:bodyDiv w:val="1"/>
      <w:marLeft w:val="0"/>
      <w:marRight w:val="0"/>
      <w:marTop w:val="0"/>
      <w:marBottom w:val="0"/>
      <w:divBdr>
        <w:top w:val="none" w:sz="0" w:space="0" w:color="auto"/>
        <w:left w:val="none" w:sz="0" w:space="0" w:color="auto"/>
        <w:bottom w:val="none" w:sz="0" w:space="0" w:color="auto"/>
        <w:right w:val="none" w:sz="0" w:space="0" w:color="auto"/>
      </w:divBdr>
    </w:div>
    <w:div w:id="549878993">
      <w:bodyDiv w:val="1"/>
      <w:marLeft w:val="0"/>
      <w:marRight w:val="0"/>
      <w:marTop w:val="0"/>
      <w:marBottom w:val="0"/>
      <w:divBdr>
        <w:top w:val="none" w:sz="0" w:space="0" w:color="auto"/>
        <w:left w:val="none" w:sz="0" w:space="0" w:color="auto"/>
        <w:bottom w:val="none" w:sz="0" w:space="0" w:color="auto"/>
        <w:right w:val="none" w:sz="0" w:space="0" w:color="auto"/>
      </w:divBdr>
    </w:div>
    <w:div w:id="720909731">
      <w:bodyDiv w:val="1"/>
      <w:marLeft w:val="0"/>
      <w:marRight w:val="0"/>
      <w:marTop w:val="0"/>
      <w:marBottom w:val="0"/>
      <w:divBdr>
        <w:top w:val="none" w:sz="0" w:space="0" w:color="auto"/>
        <w:left w:val="none" w:sz="0" w:space="0" w:color="auto"/>
        <w:bottom w:val="none" w:sz="0" w:space="0" w:color="auto"/>
        <w:right w:val="none" w:sz="0" w:space="0" w:color="auto"/>
      </w:divBdr>
    </w:div>
    <w:div w:id="1312103086">
      <w:bodyDiv w:val="1"/>
      <w:marLeft w:val="0"/>
      <w:marRight w:val="0"/>
      <w:marTop w:val="0"/>
      <w:marBottom w:val="0"/>
      <w:divBdr>
        <w:top w:val="none" w:sz="0" w:space="0" w:color="auto"/>
        <w:left w:val="none" w:sz="0" w:space="0" w:color="auto"/>
        <w:bottom w:val="none" w:sz="0" w:space="0" w:color="auto"/>
        <w:right w:val="none" w:sz="0" w:space="0" w:color="auto"/>
      </w:divBdr>
    </w:div>
    <w:div w:id="1541356482">
      <w:bodyDiv w:val="1"/>
      <w:marLeft w:val="0"/>
      <w:marRight w:val="0"/>
      <w:marTop w:val="0"/>
      <w:marBottom w:val="0"/>
      <w:divBdr>
        <w:top w:val="none" w:sz="0" w:space="0" w:color="auto"/>
        <w:left w:val="none" w:sz="0" w:space="0" w:color="auto"/>
        <w:bottom w:val="none" w:sz="0" w:space="0" w:color="auto"/>
        <w:right w:val="none" w:sz="0" w:space="0" w:color="auto"/>
      </w:divBdr>
    </w:div>
    <w:div w:id="20871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A699-C7D5-4D0A-BE6B-050163FB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432809</cp:lastModifiedBy>
  <cp:revision>2</cp:revision>
  <dcterms:created xsi:type="dcterms:W3CDTF">2018-04-04T07:50:00Z</dcterms:created>
  <dcterms:modified xsi:type="dcterms:W3CDTF">2018-04-04T07:50:00Z</dcterms:modified>
</cp:coreProperties>
</file>