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bookmarkStart w:id="0" w:name="_GoBack"/>
      <w:r w:rsidRPr="00B768C8">
        <w:rPr>
          <w:rFonts w:hint="eastAsia"/>
          <w:b/>
          <w:sz w:val="24"/>
          <w:szCs w:val="24"/>
        </w:rPr>
        <w:t>厦门农村商业银行股份有限公司</w:t>
      </w:r>
    </w:p>
    <w:p w:rsidR="00BE23D7" w:rsidRPr="00B768C8" w:rsidRDefault="00BE23D7" w:rsidP="00BE23D7">
      <w:pPr>
        <w:widowControl/>
        <w:spacing w:line="600" w:lineRule="atLeast"/>
        <w:jc w:val="center"/>
        <w:rPr>
          <w:b/>
          <w:sz w:val="24"/>
          <w:szCs w:val="24"/>
        </w:rPr>
      </w:pPr>
      <w:r w:rsidRPr="00B768C8">
        <w:rPr>
          <w:b/>
          <w:sz w:val="24"/>
          <w:szCs w:val="24"/>
        </w:rPr>
        <w:t>2018</w:t>
      </w:r>
      <w:r w:rsidRPr="00B768C8">
        <w:rPr>
          <w:rFonts w:hint="eastAsia"/>
          <w:b/>
          <w:sz w:val="24"/>
          <w:szCs w:val="24"/>
        </w:rPr>
        <w:t>年第</w:t>
      </w:r>
      <w:r w:rsidRPr="00E01953">
        <w:rPr>
          <w:b/>
          <w:sz w:val="24"/>
          <w:szCs w:val="24"/>
        </w:rPr>
        <w:t>3</w:t>
      </w:r>
      <w:r w:rsidRPr="00B768C8">
        <w:rPr>
          <w:rFonts w:hint="eastAsia"/>
          <w:b/>
          <w:sz w:val="24"/>
          <w:szCs w:val="24"/>
        </w:rPr>
        <w:t>期单位大额存单产品说明书</w:t>
      </w:r>
    </w:p>
    <w:bookmarkEnd w:id="0"/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2018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年第</w:t>
            </w:r>
            <w:r w:rsidRPr="00E01953">
              <w:rPr>
                <w:rFonts w:ascii="宋体" w:hAnsi="宋体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期单位大额存单</w:t>
            </w:r>
            <w:r w:rsidRPr="00B768C8">
              <w:rPr>
                <w:rFonts w:ascii="宋体" w:hAnsi="宋体"/>
                <w:kern w:val="0"/>
                <w:szCs w:val="21"/>
              </w:rPr>
              <w:t>(3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Pr="00B768C8">
              <w:rPr>
                <w:rFonts w:ascii="宋体" w:hAnsi="宋体"/>
                <w:kern w:val="0"/>
                <w:szCs w:val="21"/>
              </w:rPr>
              <w:t>)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2012A08180</w:t>
            </w:r>
            <w:r w:rsidRPr="00E01953">
              <w:rPr>
                <w:rFonts w:ascii="宋体" w:hAnsi="宋体" w:cs="宋体"/>
                <w:kern w:val="0"/>
                <w:szCs w:val="21"/>
              </w:rPr>
              <w:t>3</w:t>
            </w:r>
            <w:r w:rsidRPr="00B768C8">
              <w:rPr>
                <w:rFonts w:ascii="宋体" w:hAnsi="宋体" w:cs="宋体"/>
                <w:kern w:val="0"/>
                <w:szCs w:val="21"/>
              </w:rPr>
              <w:t>0</w:t>
            </w:r>
            <w:r w:rsidRPr="00E01953">
              <w:rPr>
                <w:rFonts w:ascii="宋体" w:hAnsi="宋体" w:cs="宋体"/>
                <w:kern w:val="0"/>
                <w:szCs w:val="21"/>
              </w:rPr>
              <w:t>4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企业，机关，团体，部队，事业单位，保险公司，社保基金，住房资金类客户等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本金币种：人民币</w:t>
            </w:r>
            <w:r w:rsidRPr="00B768C8">
              <w:rPr>
                <w:rFonts w:ascii="宋体" w:hAnsi="宋体"/>
                <w:kern w:val="0"/>
                <w:szCs w:val="21"/>
              </w:rPr>
              <w:t xml:space="preserve"> 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利息币种：人民币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Pr="00E01953">
              <w:rPr>
                <w:rFonts w:ascii="宋体" w:hAnsi="宋体" w:cs="宋体"/>
                <w:kern w:val="0"/>
                <w:szCs w:val="21"/>
              </w:rPr>
              <w:t>3.8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3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BE23D7" w:rsidRPr="00B768C8" w:rsidTr="00E01953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2018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Pr="00E01953">
              <w:rPr>
                <w:rFonts w:ascii="宋体" w:hAnsi="宋体"/>
                <w:kern w:val="0"/>
                <w:szCs w:val="21"/>
              </w:rPr>
              <w:t>8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Pr="00B768C8">
              <w:rPr>
                <w:rFonts w:ascii="宋体" w:hAnsi="宋体"/>
                <w:kern w:val="0"/>
                <w:szCs w:val="21"/>
              </w:rPr>
              <w:t>3</w:t>
            </w:r>
            <w:r w:rsidRPr="00E01953">
              <w:rPr>
                <w:rFonts w:ascii="宋体" w:hAnsi="宋体"/>
                <w:kern w:val="0"/>
                <w:szCs w:val="21"/>
              </w:rPr>
              <w:t>0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  <w:r w:rsidRPr="00B768C8">
              <w:rPr>
                <w:rFonts w:ascii="宋体" w:hAnsi="宋体"/>
                <w:kern w:val="0"/>
                <w:szCs w:val="21"/>
              </w:rPr>
              <w:t>-2018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</w:t>
            </w:r>
            <w:r w:rsidRPr="00E01953">
              <w:rPr>
                <w:rFonts w:ascii="宋体" w:hAnsi="宋体"/>
                <w:kern w:val="0"/>
                <w:szCs w:val="21"/>
              </w:rPr>
              <w:t>9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月</w:t>
            </w:r>
            <w:r w:rsidRPr="00E01953">
              <w:rPr>
                <w:rFonts w:ascii="宋体" w:hAnsi="宋体"/>
                <w:kern w:val="0"/>
                <w:szCs w:val="21"/>
              </w:rPr>
              <w:t>1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日</w:t>
            </w:r>
          </w:p>
        </w:tc>
      </w:tr>
      <w:tr w:rsidR="00BE23D7" w:rsidRPr="00B768C8" w:rsidTr="00E01953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 w:cs="宋体"/>
                <w:kern w:val="0"/>
                <w:szCs w:val="21"/>
              </w:rPr>
              <w:t>1000万元</w:t>
            </w:r>
          </w:p>
        </w:tc>
      </w:tr>
      <w:tr w:rsidR="00BE23D7" w:rsidRPr="00B768C8" w:rsidTr="00E01953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 w:rsidRPr="00B768C8"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 w:rsidRPr="00B768C8"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10万元</w:t>
            </w:r>
          </w:p>
        </w:tc>
      </w:tr>
      <w:tr w:rsidR="00BE23D7" w:rsidRPr="00B768C8" w:rsidTr="00E01953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 w:rsidRPr="00B768C8">
              <w:rPr>
                <w:rFonts w:ascii="宋体" w:hAnsi="宋体"/>
                <w:kern w:val="0"/>
                <w:szCs w:val="21"/>
              </w:rPr>
              <w:t>4.2625%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到期兑付利息＝存单面值×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年利率×存单期限（年）</w:t>
            </w:r>
          </w:p>
        </w:tc>
      </w:tr>
      <w:tr w:rsidR="00BE23D7" w:rsidRPr="00B768C8" w:rsidTr="00E01953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按季付息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BE23D7" w:rsidRPr="00B768C8" w:rsidTr="00E01953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hint="eastAsia"/>
                <w:kern w:val="0"/>
                <w:szCs w:val="21"/>
              </w:rPr>
              <w:t>起息日满</w:t>
            </w:r>
            <w:r w:rsidRPr="00B768C8">
              <w:rPr>
                <w:rFonts w:ascii="宋体" w:hAnsi="宋体"/>
                <w:kern w:val="0"/>
                <w:szCs w:val="21"/>
              </w:rPr>
              <w:t>3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年，对年对月对日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可全额或部分提前支取，部分提前支取后，</w:t>
            </w:r>
            <w:r w:rsidRPr="00B768C8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 w:rsidRPr="00B768C8"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是否可转让、赎回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BE23D7" w:rsidRPr="00B768C8" w:rsidTr="00E01953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3D7" w:rsidRPr="00B768C8" w:rsidRDefault="00BE23D7" w:rsidP="00E01953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768C8"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 w:rsidRPr="00B768C8">
        <w:rPr>
          <w:rFonts w:ascii="宋体" w:hAnsi="宋体" w:hint="eastAsia"/>
          <w:kern w:val="0"/>
          <w:szCs w:val="21"/>
        </w:rPr>
        <w:t>帐户</w:t>
      </w:r>
      <w:proofErr w:type="gramEnd"/>
      <w:r w:rsidRPr="00B768C8">
        <w:rPr>
          <w:rFonts w:ascii="宋体" w:hAnsi="宋体" w:hint="eastAsia"/>
          <w:kern w:val="0"/>
          <w:szCs w:val="21"/>
        </w:rPr>
        <w:t>。投资人向本行提交加盖单位公章、法人章的《单位大额存单认购申请书》，即表示已全部通晓并充分理解、同意本产品说明书全部条款。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三、提前支取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四、到期本息兑付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五、利息收益说明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 w:rsidRPr="00B768C8"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 w:rsidRPr="00B768C8"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六、特殊业务办理</w:t>
      </w:r>
    </w:p>
    <w:p w:rsidR="00BE23D7" w:rsidRPr="00B768C8" w:rsidRDefault="00BE23D7" w:rsidP="00BE23D7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 xml:space="preserve">    投资人可根据需要办理大额存单挂失、质押、开立存款证明业务。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七、信息披露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本行通过官方网站（</w:t>
      </w:r>
      <w:hyperlink r:id="rId7" w:history="1">
        <w:r w:rsidRPr="00B768C8">
          <w:rPr>
            <w:rFonts w:ascii="宋体" w:hAnsi="宋体"/>
            <w:kern w:val="0"/>
            <w:szCs w:val="21"/>
          </w:rPr>
          <w:t>www.rcbxm.com</w:t>
        </w:r>
      </w:hyperlink>
      <w:r w:rsidRPr="00B768C8"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BE23D7" w:rsidRPr="00B768C8" w:rsidRDefault="00BE23D7" w:rsidP="00BE23D7">
      <w:pPr>
        <w:ind w:firstLineChars="200" w:firstLine="422"/>
        <w:jc w:val="right"/>
        <w:rPr>
          <w:b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B768C8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 w:rsidRPr="00B768C8">
        <w:rPr>
          <w:rFonts w:ascii="宋体" w:hAnsi="宋体"/>
          <w:kern w:val="0"/>
          <w:szCs w:val="21"/>
        </w:rPr>
        <w:t>2018</w:t>
      </w:r>
      <w:r w:rsidRPr="00B768C8">
        <w:rPr>
          <w:rFonts w:ascii="宋体" w:hAnsi="宋体" w:hint="eastAsia"/>
          <w:kern w:val="0"/>
          <w:szCs w:val="21"/>
        </w:rPr>
        <w:t>年</w:t>
      </w:r>
      <w:r w:rsidRPr="00E01953">
        <w:rPr>
          <w:rFonts w:ascii="宋体" w:hAnsi="宋体"/>
          <w:kern w:val="0"/>
          <w:szCs w:val="21"/>
        </w:rPr>
        <w:t>8</w:t>
      </w:r>
      <w:r w:rsidRPr="00B768C8">
        <w:rPr>
          <w:rFonts w:ascii="宋体" w:hAnsi="宋体" w:hint="eastAsia"/>
          <w:kern w:val="0"/>
          <w:szCs w:val="21"/>
        </w:rPr>
        <w:t>月</w:t>
      </w:r>
      <w:r w:rsidRPr="00B768C8">
        <w:rPr>
          <w:rFonts w:ascii="宋体" w:hAnsi="宋体"/>
          <w:kern w:val="0"/>
          <w:szCs w:val="21"/>
        </w:rPr>
        <w:t>30</w:t>
      </w:r>
      <w:r w:rsidRPr="00B768C8">
        <w:rPr>
          <w:rFonts w:ascii="宋体" w:hAnsi="宋体" w:hint="eastAsia"/>
          <w:kern w:val="0"/>
          <w:szCs w:val="21"/>
        </w:rPr>
        <w:t>日</w:t>
      </w: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BE23D7" w:rsidRPr="00B768C8" w:rsidRDefault="00BE23D7" w:rsidP="00BE23D7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 w:rsidRPr="00B768C8"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BE23D7" w:rsidRPr="00B768C8" w:rsidRDefault="00BE23D7" w:rsidP="00BE23D7"/>
    <w:p w:rsidR="0075108B" w:rsidRPr="00BE23D7" w:rsidRDefault="0075108B"/>
    <w:sectPr w:rsidR="0075108B" w:rsidRPr="00BE23D7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A17" w:rsidRDefault="00EA2A17" w:rsidP="00BE23D7">
      <w:r>
        <w:separator/>
      </w:r>
    </w:p>
  </w:endnote>
  <w:endnote w:type="continuationSeparator" w:id="0">
    <w:p w:rsidR="00EA2A17" w:rsidRDefault="00EA2A17" w:rsidP="00BE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A17" w:rsidRDefault="00EA2A17" w:rsidP="00BE23D7">
      <w:r>
        <w:separator/>
      </w:r>
    </w:p>
  </w:footnote>
  <w:footnote w:type="continuationSeparator" w:id="0">
    <w:p w:rsidR="00EA2A17" w:rsidRDefault="00EA2A17" w:rsidP="00BE2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700F"/>
    <w:rsid w:val="00374B2E"/>
    <w:rsid w:val="00537D6D"/>
    <w:rsid w:val="0075108B"/>
    <w:rsid w:val="00832967"/>
    <w:rsid w:val="008E700F"/>
    <w:rsid w:val="00BE23D7"/>
    <w:rsid w:val="00EA2A17"/>
    <w:rsid w:val="00FC61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E23D7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23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23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23D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23D7"/>
    <w:rPr>
      <w:sz w:val="18"/>
      <w:szCs w:val="18"/>
    </w:rPr>
  </w:style>
  <w:style w:type="paragraph" w:customStyle="1" w:styleId="2">
    <w:name w:val="列出段落2"/>
    <w:basedOn w:val="a"/>
    <w:rsid w:val="00BE23D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xm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182</Words>
  <Characters>1038</Characters>
  <Application>Microsoft Office Word</Application>
  <DocSecurity>0</DocSecurity>
  <Lines>8</Lines>
  <Paragraphs>2</Paragraphs>
  <ScaleCrop>false</ScaleCrop>
  <Company>xmrcb</Company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赖纾婷</dc:creator>
  <cp:keywords/>
  <dc:description/>
  <cp:lastModifiedBy>赖纾婷</cp:lastModifiedBy>
  <cp:revision>2</cp:revision>
  <dcterms:created xsi:type="dcterms:W3CDTF">2018-08-30T00:56:00Z</dcterms:created>
  <dcterms:modified xsi:type="dcterms:W3CDTF">2018-08-30T00:57:00Z</dcterms:modified>
</cp:coreProperties>
</file>